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256F" w14:textId="76164ECF" w:rsidR="005F7B84" w:rsidRDefault="0050560F" w:rsidP="005F7B84">
      <w:pPr>
        <w:spacing w:after="0" w:line="240" w:lineRule="auto"/>
        <w:jc w:val="center"/>
        <w:rPr>
          <w:rFonts w:asciiTheme="minorBidi" w:eastAsia="Times New Roman" w:hAnsiTheme="minorBidi"/>
          <w:b/>
          <w:bCs/>
          <w:color w:val="000000"/>
          <w:lang w:eastAsia="en-CA"/>
        </w:rPr>
      </w:pPr>
      <w:r>
        <w:rPr>
          <w:rFonts w:asciiTheme="minorBidi" w:eastAsia="Times New Roman" w:hAnsiTheme="minorBidi"/>
          <w:b/>
          <w:bCs/>
          <w:color w:val="000000"/>
          <w:lang w:eastAsia="en-CA"/>
        </w:rPr>
        <w:t>Navigating Dermatology for Muslim Patients</w:t>
      </w:r>
    </w:p>
    <w:p w14:paraId="594BD2A3" w14:textId="77777777" w:rsidR="009D2FB8" w:rsidRPr="004E292F" w:rsidRDefault="009D2FB8" w:rsidP="005F7B84">
      <w:pPr>
        <w:spacing w:after="0" w:line="240" w:lineRule="auto"/>
        <w:jc w:val="center"/>
        <w:rPr>
          <w:rFonts w:asciiTheme="minorBidi" w:eastAsia="Times New Roman" w:hAnsiTheme="minorBidi"/>
          <w:b/>
          <w:bCs/>
          <w:color w:val="000000"/>
          <w:lang w:eastAsia="en-CA"/>
        </w:rPr>
      </w:pPr>
    </w:p>
    <w:p w14:paraId="1967D7E9" w14:textId="469A1833" w:rsidR="004E292F" w:rsidRPr="004E292F" w:rsidRDefault="004E292F" w:rsidP="004E292F">
      <w:pPr>
        <w:spacing w:after="0" w:line="240" w:lineRule="auto"/>
        <w:jc w:val="center"/>
        <w:rPr>
          <w:rFonts w:asciiTheme="minorBidi" w:eastAsia="Times New Roman" w:hAnsiTheme="minorBidi"/>
          <w:sz w:val="20"/>
          <w:szCs w:val="20"/>
          <w:lang w:eastAsia="en-CA"/>
        </w:rPr>
      </w:pPr>
      <w:r w:rsidRPr="004E292F">
        <w:rPr>
          <w:rFonts w:asciiTheme="minorBidi" w:eastAsia="Times New Roman" w:hAnsiTheme="minorBidi"/>
          <w:b/>
          <w:bCs/>
          <w:color w:val="000000"/>
          <w:sz w:val="20"/>
          <w:szCs w:val="20"/>
          <w:lang w:eastAsia="en-CA"/>
        </w:rPr>
        <w:t>By: Maaz Haq (</w:t>
      </w:r>
      <w:r w:rsidR="005F7B84" w:rsidRPr="009D2FB8">
        <w:rPr>
          <w:rFonts w:asciiTheme="minorBidi" w:eastAsia="Times New Roman" w:hAnsiTheme="minorBidi"/>
          <w:b/>
          <w:bCs/>
          <w:color w:val="000000"/>
          <w:sz w:val="20"/>
          <w:szCs w:val="20"/>
          <w:lang w:eastAsia="en-CA"/>
        </w:rPr>
        <w:t>Second year medical student, Queen’s University</w:t>
      </w:r>
      <w:r w:rsidRPr="004E292F">
        <w:rPr>
          <w:rFonts w:asciiTheme="minorBidi" w:eastAsia="Times New Roman" w:hAnsiTheme="minorBidi"/>
          <w:b/>
          <w:bCs/>
          <w:color w:val="000000"/>
          <w:sz w:val="20"/>
          <w:szCs w:val="20"/>
          <w:lang w:eastAsia="en-CA"/>
        </w:rPr>
        <w:t>) and Shaimaa Helal (</w:t>
      </w:r>
      <w:r w:rsidR="005F7B84" w:rsidRPr="009D2FB8">
        <w:rPr>
          <w:rFonts w:asciiTheme="minorBidi" w:eastAsia="Times New Roman" w:hAnsiTheme="minorBidi"/>
          <w:b/>
          <w:bCs/>
          <w:color w:val="000000"/>
          <w:sz w:val="20"/>
          <w:szCs w:val="20"/>
          <w:lang w:eastAsia="en-CA"/>
        </w:rPr>
        <w:t>Third year medical student, Queen’s University</w:t>
      </w:r>
      <w:r w:rsidRPr="004E292F">
        <w:rPr>
          <w:rFonts w:asciiTheme="minorBidi" w:eastAsia="Times New Roman" w:hAnsiTheme="minorBidi"/>
          <w:b/>
          <w:bCs/>
          <w:color w:val="000000"/>
          <w:sz w:val="20"/>
          <w:szCs w:val="20"/>
          <w:lang w:eastAsia="en-CA"/>
        </w:rPr>
        <w:t>) </w:t>
      </w:r>
    </w:p>
    <w:p w14:paraId="3FD2D538" w14:textId="77777777" w:rsidR="004E292F" w:rsidRPr="004E292F" w:rsidRDefault="004E292F" w:rsidP="004E292F">
      <w:pPr>
        <w:spacing w:after="0" w:line="240" w:lineRule="auto"/>
        <w:rPr>
          <w:rFonts w:asciiTheme="minorBidi" w:eastAsia="Times New Roman" w:hAnsiTheme="minorBidi"/>
          <w:lang w:eastAsia="en-CA"/>
        </w:rPr>
      </w:pPr>
    </w:p>
    <w:p w14:paraId="4739E636" w14:textId="02FC4E20" w:rsidR="004E292F" w:rsidRPr="004E292F" w:rsidRDefault="004E292F" w:rsidP="009D2FB8">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ab/>
        <w:t>Studies done on samples of Muslim women in the United States suggest that up to 53% of Muslim women delay seeking care due to a perceived lack of availability of female physicians</w:t>
      </w:r>
      <w:r w:rsidR="00815F87">
        <w:rPr>
          <w:rFonts w:asciiTheme="minorBidi" w:eastAsia="Times New Roman" w:hAnsiTheme="minorBidi"/>
          <w:color w:val="000000"/>
          <w:lang w:eastAsia="en-CA"/>
        </w:rPr>
        <w:t xml:space="preserve"> </w:t>
      </w:r>
      <w:r w:rsidRPr="009D2FB8">
        <w:rPr>
          <w:rFonts w:asciiTheme="minorBidi" w:eastAsia="Times New Roman" w:hAnsiTheme="minorBidi"/>
          <w:color w:val="000000"/>
          <w:lang w:eastAsia="en-CA"/>
        </w:rPr>
        <w:fldChar w:fldCharType="begin" w:fldLock="1"/>
      </w:r>
      <w:r w:rsidRPr="009D2FB8">
        <w:rPr>
          <w:rFonts w:asciiTheme="minorBidi" w:eastAsia="Times New Roman" w:hAnsiTheme="minorBidi"/>
          <w:color w:val="000000"/>
          <w:lang w:eastAsia="en-CA"/>
        </w:rPr>
        <w:instrText>ADDIN CSL_CITATION {"citationItems":[{"id":"ITEM-1","itemData":{"DOI":"10.1089/jwh.2015.5517","ISSN":"1540-9996","abstract":"Background: Delayed care seeking is associated with adverse health outcomes. For Muslim women, delayed care seeking might include religion-related motivations, such as a preference for female clinicians, concerns about preserving modesty, and fatalistic beliefs. Our study assesses associations between religion-related factors and delayed care seeking due to a perceived lack of female clinicians. Materials and Methods: Surveys were distributed to Muslim women attending mosque and community events in Chicago. Survey items included measures of religiosity, religious fatalism, discrimination, modesty, and alternative medicine utilization and worship practices. The outcome measure asked for levels of agreement to the statement \"I have delayed seeking medical care when no woman doctor is available to see me.\" Results: Two hundred fifty-four women completed the survey with nearly equal numbers of African Americans (26%), Arab Americans (33%), and South Asians (33%). Fifty-three percent reported delays in care seeking due to a perceived lack of female clinicians. In multivariate analysis adjusting for sociodemographic factors, higher religiosity (odds ratio [OR] = 5.2, p &lt; 0.01) and modesty levels (OR = 1.4, p &lt; 0.001) were positively associated with delayed care seeking. Having lived in the United States for &gt;20 years (OR = 0.22, p &lt; 0.05) was negatively associated with delayed care seeking. Conclusion: Many American Muslim women reported delays in care seeking due to a perceived lack of female clinicians. Women with higher levels of modesty and self-rated religiosity had higher odds of delaying care. Women who had lived in the United States for longer durations had lower odds of delaying care. Our research highlights the need for gender-concordant providers and culturally sensitive care for American Muslims.","author":[{"dropping-particle":"","family":"Vu","given":"Milkie","non-dropping-particle":"","parse-names":false,"suffix":""},{"dropping-particle":"","family":"Azmat","given":"Alia","non-dropping-particle":"","parse-names":false,"suffix":""},{"dropping-particle":"","family":"Radejko","given":"Tala","non-dropping-particle":"","parse-names":false,"suffix":""},{"dropping-particle":"","family":"Padela","given":"Aasim I.","non-dropping-particle":"","parse-names":false,"suffix":""}],"container-title":"Journal of Women's Health","id":"ITEM-1","issue":"6","issued":{"date-parts":[["2016","6","1"]]},"page":"586-593","publisher":"Mary Ann Liebert Inc.","title":"Predictors of Delayed Healthcare Seeking Among American Muslim Women","type":"article-journal","volume":"25"},"uris":["http://www.mendeley.com/documents/?uuid=9ead7867-16e5-3fb3-a873-99d2a02e7494"]}],"mendeley":{"formattedCitation":"[1]","plainTextFormattedCitation":"[1]","previouslyFormattedCitation":"[1]"},"properties":{"noteIndex":0},"schema":"https://github.com/citation-style-language/schema/raw/master/csl-citation.json"}</w:instrText>
      </w:r>
      <w:r w:rsidRPr="009D2FB8">
        <w:rPr>
          <w:rFonts w:asciiTheme="minorBidi" w:eastAsia="Times New Roman" w:hAnsiTheme="minorBidi"/>
          <w:color w:val="000000"/>
          <w:lang w:eastAsia="en-CA"/>
        </w:rPr>
        <w:fldChar w:fldCharType="separate"/>
      </w:r>
      <w:r w:rsidRPr="009D2FB8">
        <w:rPr>
          <w:rFonts w:asciiTheme="minorBidi" w:eastAsia="Times New Roman" w:hAnsiTheme="minorBidi"/>
          <w:noProof/>
          <w:color w:val="000000"/>
          <w:lang w:eastAsia="en-CA"/>
        </w:rPr>
        <w:t>[1]</w:t>
      </w:r>
      <w:r w:rsidRPr="009D2FB8">
        <w:rPr>
          <w:rFonts w:asciiTheme="minorBidi" w:eastAsia="Times New Roman" w:hAnsiTheme="minorBidi"/>
          <w:color w:val="000000"/>
          <w:lang w:eastAsia="en-CA"/>
        </w:rPr>
        <w:fldChar w:fldCharType="end"/>
      </w:r>
      <w:r w:rsidRPr="009D2FB8">
        <w:rPr>
          <w:rFonts w:asciiTheme="minorBidi" w:eastAsia="Times New Roman" w:hAnsiTheme="minorBidi"/>
          <w:color w:val="000000"/>
          <w:lang w:eastAsia="en-CA"/>
        </w:rPr>
        <w:t>.</w:t>
      </w:r>
      <w:r w:rsidRPr="004E292F">
        <w:rPr>
          <w:rFonts w:asciiTheme="minorBidi" w:eastAsia="Times New Roman" w:hAnsiTheme="minorBidi"/>
          <w:color w:val="000000"/>
          <w:lang w:eastAsia="en-CA"/>
        </w:rPr>
        <w:t xml:space="preserve"> Canadian South Asian Muslims with end-stage kidney disease are less likely to receive a kidney transplant compared to their Caucasian non-Muslim counterparts</w:t>
      </w:r>
      <w:r w:rsidRPr="009D2FB8">
        <w:rPr>
          <w:rFonts w:asciiTheme="minorBidi" w:eastAsia="Times New Roman" w:hAnsiTheme="minorBidi"/>
          <w:color w:val="000000"/>
          <w:lang w:eastAsia="en-CA"/>
        </w:rPr>
        <w:t xml:space="preserve"> </w:t>
      </w:r>
      <w:r w:rsidRPr="009D2FB8">
        <w:rPr>
          <w:rFonts w:asciiTheme="minorBidi" w:eastAsia="Times New Roman" w:hAnsiTheme="minorBidi"/>
          <w:color w:val="000000"/>
          <w:lang w:eastAsia="en-CA"/>
        </w:rPr>
        <w:fldChar w:fldCharType="begin" w:fldLock="1"/>
      </w:r>
      <w:r w:rsidRPr="009D2FB8">
        <w:rPr>
          <w:rFonts w:asciiTheme="minorBidi" w:eastAsia="Times New Roman" w:hAnsiTheme="minorBidi"/>
          <w:color w:val="000000"/>
          <w:lang w:eastAsia="en-CA"/>
        </w:rPr>
        <w:instrText>ADDIN CSL_CITATION {"citationItems":[{"id":"ITEM-1","itemData":{"DOI":"10.1097/01.tp.0000543324.75699.94","ISSN":"0041-1337","abstract":"Background: No studies have assessed whether Muslim Canadians face Barriers to accessing LDKT. We explored how frequently Muslim or South Asian patients with and stage kidney disease (ESKD) receive LDKT offers and if they had a potential living donor (LD) identified. Method(s): We used a cross-sectional, convenience sample of adult patients with ESKD from several hospitals in Toronto, Ontario. Non-English speaking patients and patients unwilling to consent were excluded. Based on self-identified religious affiliation and ethnicity patients were grouped as: 1) Muslims 2) Caucasian, Non-Muslims 3) South Asian, Non-Muslims 4) Non-Caucasian, Non-Muslims. Patients were asked whether anyone had offered to be a living donor for them and if they had a LD identified (outcome variables). Logistic regression was used to analyze the association between religion/ethnicity and outcome variables. Result(s): Out of 367 participants 5%(18) were Muslim, 40%(134) Caucasian, non-Muslim and 13%(44) South Asian, non-Muslim. The mean (SD) age was 58(13) years, 60%(221) were male. Muslim patients tended to be younger in comparison to Caucasian, non-Muslims (53[14] versus 58[14] years, p=0.074). Compared to Caucasian, Non-Muslims, Muslim patients tended to be less likely to report receiving an offer for living donation (OR=0.47, CI: 0.17-1.30, P=0.147), although the association was significant only after adjusting for age, gender, and education (OR=0.32, CI: 0.11-0.96, P=0.043). South Asian, Non-Muslims, in comparison to Caucasian, Non-Muslims, also seemed to be less likely to report receiving an offer for living donation after adjusting for age, gender, and education (OR=0.48, CI: 0.23-1.01, P=0.052). Qualitatively similar results were seen for \"having a potential living donor identified\" in both groups. Conclusion(s): Muslim and South Asian patients with ESKD are less likely to receive a living kidney donation offer compared to Caucasian, Non-Muslims. These patients are, therefore, less likely to receive a LDKT. An unclear understanding of the Islamic perspective on organ donation and additional cultural or religious factors may contribute to the observed inequity.","author":[{"dropping-particle":"","family":"Ali","given":"Abeera","non-dropping-particle":"","parse-names":false,"suffix":""},{"dropping-particle":"","family":"Ayub","given":"Ali","non-dropping-particle":"","parse-names":false,"suffix":""},{"dropping-particle":"","family":"Richardson","given":"Candice","non-dropping-particle":"","parse-names":false,"suffix":""},{"dropping-particle":"","family":"Edwards","given":"Nathaniel","non-dropping-particle":"","parse-names":false,"suffix":""},{"dropping-particle":"","family":"Ahmed","given":"Tibyan","non-dropping-particle":"","parse-names":false,"suffix":""},{"dropping-particle":"","family":"Novak","given":"Marta","non-dropping-particle":"","parse-names":false,"suffix":""},{"dropping-particle":"","family":"Mucsi","given":"Istvan","non-dropping-particle":"","parse-names":false,"suffix":""}],"container-title":"Transplantation","id":"ITEM-1","issued":{"date-parts":[["2018","7"]]},"page":"S502","publisher":"Ovid Technologies (Wolters Kluwer Health)","title":"South Asian and Muslim Canadian Patients are less Likely to Receive Living Donor Kidney Transplant offers Compared to Caucasian, Non-Muslim Patients","type":"article-journal","volume":"102"},"uris":["http://www.mendeley.com/documents/?uuid=fa58fdd8-ccee-38f3-820d-9f73a00cbcd4"]}],"mendeley":{"formattedCitation":"[2]","plainTextFormattedCitation":"[2]","previouslyFormattedCitation":"[2]"},"properties":{"noteIndex":0},"schema":"https://github.com/citation-style-language/schema/raw/master/csl-citation.json"}</w:instrText>
      </w:r>
      <w:r w:rsidRPr="009D2FB8">
        <w:rPr>
          <w:rFonts w:asciiTheme="minorBidi" w:eastAsia="Times New Roman" w:hAnsiTheme="minorBidi"/>
          <w:color w:val="000000"/>
          <w:lang w:eastAsia="en-CA"/>
        </w:rPr>
        <w:fldChar w:fldCharType="separate"/>
      </w:r>
      <w:r w:rsidRPr="009D2FB8">
        <w:rPr>
          <w:rFonts w:asciiTheme="minorBidi" w:eastAsia="Times New Roman" w:hAnsiTheme="minorBidi"/>
          <w:noProof/>
          <w:color w:val="000000"/>
          <w:lang w:eastAsia="en-CA"/>
        </w:rPr>
        <w:t>[2]</w:t>
      </w:r>
      <w:r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xml:space="preserve">. Muslim women in Ontario have significantly lower rates of breast cancer and cervical cancer screening </w:t>
      </w:r>
      <w:r w:rsidRPr="009D2FB8">
        <w:rPr>
          <w:rFonts w:asciiTheme="minorBidi" w:eastAsia="Times New Roman" w:hAnsiTheme="minorBidi"/>
          <w:color w:val="000000"/>
          <w:lang w:eastAsia="en-CA"/>
        </w:rPr>
        <w:fldChar w:fldCharType="begin" w:fldLock="1"/>
      </w:r>
      <w:r w:rsidRPr="009D2FB8">
        <w:rPr>
          <w:rFonts w:asciiTheme="minorBidi" w:eastAsia="Times New Roman" w:hAnsiTheme="minorBidi"/>
          <w:color w:val="000000"/>
          <w:lang w:eastAsia="en-CA"/>
        </w:rPr>
        <w:instrText>ADDIN CSL_CITATION {"citationItems":[{"id":"ITEM-1","itemData":{"DOI":"10.1016/j.ypmed.2017.09.008","ISSN":"10960260","PMID":"28916289","abstract":"Breast cancer screening disparities continue to prevail with immigrant women being at the forefront of the under screened population. There is a paucity of knowledge about the role of religious affiliation or cultural orientation on immigrant women's cancer screening uptake. This study examined differences in uptake of breast cancer screening among women from Muslim and non- Muslim majority countries in Ontario, Canada. A cohort of 1,851,834 screening-eligible women living in Ontario during April 1, 2013 to March 31, 2015 was created using linked health and social administrative databases. The study found that being born in a Muslim majority country was associated with lower breast cancer screening uptake after adjusting for region of origin, neighbourhood income, and primary care-related factors. However, screening uptake in Muslim majority countries varied by world region with the greatest differences found in Sub-Saharan Africa and South Asia. Screening uptake was lower for women who had no primary care provider, were in a traditional fee-for service model of primary care, had a male physician, had an internationally trained physician, resided in a low income neighbourhood, and entered Canada under the family class of immigration. Religion may play a role in screening uptake, however, the variation in rates by regions of origin, immigration class, and access to primary care providers alludes to confluence of socio-demographic, cultural beliefs and practices, immigration trajectories and system level factors. Facilitating access for immigrant women to regular primary care providers, particularly female providers and enrollment in primary care models could enhance screening uptake.","author":[{"dropping-particle":"","family":"Vahabi","given":"Mandana","non-dropping-particle":"","parse-names":false,"suffix":""},{"dropping-particle":"","family":"Lofters","given":"Aisha","non-dropping-particle":"","parse-names":false,"suffix":""},{"dropping-particle":"","family":"Kim","given":"Eliane","non-dropping-particle":"","parse-names":false,"suffix":""},{"dropping-particle":"","family":"Wong","given":"Josephine Pui Hing","non-dropping-particle":"","parse-names":false,"suffix":""},{"dropping-particle":"","family":"Ellison","given":"Lisa","non-dropping-particle":"","parse-names":false,"suffix":""},{"dropping-particle":"","family":"Graves","given":"Erin","non-dropping-particle":"","parse-names":false,"suffix":""},{"dropping-particle":"","family":"Glazier","given":"Richard H.","non-dropping-particle":"","parse-names":false,"suffix":""}],"container-title":"Preventive Medicine","id":"ITEM-1","issued":{"date-parts":[["2017","12","1"]]},"page":"176-183","publisher":"Academic Press Inc.","title":"Breast cancer screening utilization among women from Muslim majority countries in Ontario, Canada","type":"article-journal","volume":"105"},"uris":["http://www.mendeley.com/documents/?uuid=bf85b6db-7e39-37f2-b377-f52df3f52ade"]},{"id":"ITEM-2","itemData":{"DOI":"10.1158/1055-9965.EPI-17-0323","abstract":"Background: Immigrant women are less likely to be screened for cervical cancer in Ontario. Religion may play a role for some women. In this population-based retrospective cohort study, we used country of birth as a proxy for religious affiliation and examined screening uptake among foreign-born women from Muslim-majority versus other countries, stratified by region of origin. Methods: We linked provincial databases and identified all women eligible for cervical cancer screening between April 1, 2012, and March 31, 2015. Women were classified into regions based on country of birth. Countries were classified as Muslim-majority or not. Results: Being born in a Muslim-majority country was significantly associated with lower likelihood of being up-to-date on Pap testing, after adjustment for region of origin, neighborhood income, and primary care-related factors [adjusted relative risk","author":[{"dropping-particle":"","family":"Lofters","given":"Aisha K","non-dropping-particle":"","parse-names":false,"suffix":""},{"dropping-particle":"","family":"Vahabi","given":"Mandana","non-dropping-particle":"","parse-names":false,"suffix":""},{"dropping-particle":"","family":"Kim","given":"Eliane","non-dropping-particle":"","parse-names":false,"suffix":""},{"dropping-particle":"","family":"Ellison","given":"Lisa","non-dropping-particle":"","parse-names":false,"suffix":""},{"dropping-particle":"","family":"Graves","given":"Erin","non-dropping-particle":"","parse-names":false,"suffix":""},{"dropping-particle":"","family":"Glazier","given":"Richard H","non-dropping-particle":"","parse-names":false,"suffix":""}],"id":"ITEM-2","issued":{"date-parts":[["2017"]]},"title":"Cervical Cancer Screening among Women from Muslim-Majority Countries in Ontario, Canada","type":"article-journal"},"uris":["http://www.mendeley.com/documents/?uuid=d5d7d476-67eb-3ede-a3e4-9ce593db0702"]}],"mendeley":{"formattedCitation":"[3], [4]","manualFormatting":"[3-4]","plainTextFormattedCitation":"[3], [4]","previouslyFormattedCitation":"[3], [4]"},"properties":{"noteIndex":0},"schema":"https://github.com/citation-style-language/schema/raw/master/csl-citation.json"}</w:instrText>
      </w:r>
      <w:r w:rsidRPr="009D2FB8">
        <w:rPr>
          <w:rFonts w:asciiTheme="minorBidi" w:eastAsia="Times New Roman" w:hAnsiTheme="minorBidi"/>
          <w:color w:val="000000"/>
          <w:lang w:eastAsia="en-CA"/>
        </w:rPr>
        <w:fldChar w:fldCharType="separate"/>
      </w:r>
      <w:r w:rsidRPr="009D2FB8">
        <w:rPr>
          <w:rFonts w:asciiTheme="minorBidi" w:eastAsia="Times New Roman" w:hAnsiTheme="minorBidi"/>
          <w:noProof/>
          <w:color w:val="000000"/>
          <w:lang w:eastAsia="en-CA"/>
        </w:rPr>
        <w:t>[3-4]</w:t>
      </w:r>
      <w:r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Skin cancer screening rates are also likely low. Given that skin cancer represents a third of all new cancer cases in Canada, this poses a significant public health issue. These health disparities arise when cultural and religious needs are not expressed and addressed. </w:t>
      </w:r>
    </w:p>
    <w:p w14:paraId="1AAA2A59" w14:textId="77777777" w:rsidR="009D2FB8" w:rsidRDefault="009D2FB8" w:rsidP="004E292F">
      <w:pPr>
        <w:spacing w:after="0" w:line="240" w:lineRule="auto"/>
        <w:ind w:firstLine="720"/>
        <w:rPr>
          <w:rFonts w:asciiTheme="minorBidi" w:eastAsia="Times New Roman" w:hAnsiTheme="minorBidi"/>
          <w:color w:val="000000"/>
          <w:lang w:eastAsia="en-CA"/>
        </w:rPr>
      </w:pPr>
    </w:p>
    <w:p w14:paraId="13418D3F" w14:textId="24B3A413" w:rsidR="004E292F" w:rsidRPr="004E292F" w:rsidRDefault="004E292F" w:rsidP="004E292F">
      <w:pPr>
        <w:spacing w:after="0" w:line="240" w:lineRule="auto"/>
        <w:ind w:firstLine="720"/>
        <w:rPr>
          <w:rFonts w:asciiTheme="minorBidi" w:eastAsia="Times New Roman" w:hAnsiTheme="minorBidi"/>
          <w:lang w:eastAsia="en-CA"/>
        </w:rPr>
      </w:pPr>
      <w:r w:rsidRPr="004E292F">
        <w:rPr>
          <w:rFonts w:asciiTheme="minorBidi" w:eastAsia="Times New Roman" w:hAnsiTheme="minorBidi"/>
          <w:color w:val="000000"/>
          <w:lang w:eastAsia="en-CA"/>
        </w:rPr>
        <w:t>Dermatology, with its focus on the examination of traditionally covered areas such as the skin and the scalp, may be nerve-racking for a Muslim to navigate. We have created this guide to empower Muslims with the knowledge of what is acceptable to request, which religious practices have medical relevance, and potential treatment considerations. </w:t>
      </w:r>
    </w:p>
    <w:p w14:paraId="54D46561" w14:textId="77777777" w:rsidR="004E292F" w:rsidRPr="004E292F" w:rsidRDefault="004E292F" w:rsidP="004E292F">
      <w:pPr>
        <w:spacing w:after="0" w:line="240" w:lineRule="auto"/>
        <w:rPr>
          <w:rFonts w:asciiTheme="minorBidi" w:eastAsia="Times New Roman" w:hAnsiTheme="minorBidi"/>
          <w:lang w:eastAsia="en-CA"/>
        </w:rPr>
      </w:pPr>
    </w:p>
    <w:p w14:paraId="4A50C632" w14:textId="44B597C2" w:rsidR="004E292F" w:rsidRDefault="004E292F" w:rsidP="009D2FB8">
      <w:pPr>
        <w:spacing w:after="0" w:line="240" w:lineRule="auto"/>
        <w:rPr>
          <w:rFonts w:asciiTheme="minorBidi" w:eastAsia="Times New Roman" w:hAnsiTheme="minorBidi"/>
          <w:lang w:eastAsia="en-CA"/>
        </w:rPr>
      </w:pPr>
      <w:r w:rsidRPr="004E292F">
        <w:rPr>
          <w:rFonts w:asciiTheme="minorBidi" w:eastAsia="Times New Roman" w:hAnsiTheme="minorBidi"/>
          <w:b/>
          <w:bCs/>
          <w:color w:val="000000"/>
          <w:lang w:eastAsia="en-CA"/>
        </w:rPr>
        <w:t>Addressing comfort during the medical encounter </w:t>
      </w:r>
    </w:p>
    <w:p w14:paraId="058BC6DF" w14:textId="77777777" w:rsidR="009D2FB8" w:rsidRPr="004E292F" w:rsidRDefault="009D2FB8" w:rsidP="009D2FB8">
      <w:pPr>
        <w:spacing w:after="0" w:line="240" w:lineRule="auto"/>
        <w:rPr>
          <w:rFonts w:asciiTheme="minorBidi" w:eastAsia="Times New Roman" w:hAnsiTheme="minorBidi"/>
          <w:lang w:eastAsia="en-CA"/>
        </w:rPr>
      </w:pPr>
    </w:p>
    <w:p w14:paraId="17D03C1E"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 xml:space="preserve">The impermissibility of </w:t>
      </w:r>
      <w:proofErr w:type="spellStart"/>
      <w:r w:rsidRPr="004E292F">
        <w:rPr>
          <w:rFonts w:asciiTheme="minorBidi" w:eastAsia="Times New Roman" w:hAnsiTheme="minorBidi"/>
          <w:i/>
          <w:iCs/>
          <w:color w:val="000000"/>
          <w:lang w:eastAsia="en-CA"/>
        </w:rPr>
        <w:t>khalwa</w:t>
      </w:r>
      <w:proofErr w:type="spellEnd"/>
      <w:r w:rsidRPr="004E292F">
        <w:rPr>
          <w:rFonts w:asciiTheme="minorBidi" w:eastAsia="Times New Roman" w:hAnsiTheme="minorBidi"/>
          <w:color w:val="000000"/>
          <w:lang w:eastAsia="en-CA"/>
        </w:rPr>
        <w:t xml:space="preserve"> (seclusion with a member of the opposite gender) may prompt Muslims to request a same-gendered physician or the presence of a chaperone. Both are reasonable requests. If neither are possible, inform the physician of what they can do to make the experience more comfortable. For instance:</w:t>
      </w:r>
    </w:p>
    <w:p w14:paraId="2A9EF71C" w14:textId="77777777" w:rsidR="004E292F" w:rsidRPr="004E292F" w:rsidRDefault="004E292F" w:rsidP="004E292F">
      <w:pPr>
        <w:numPr>
          <w:ilvl w:val="0"/>
          <w:numId w:val="1"/>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Ask to expose the least amount of skin possible</w:t>
      </w:r>
    </w:p>
    <w:p w14:paraId="2F7AA718" w14:textId="77777777" w:rsidR="004E292F" w:rsidRPr="004E292F" w:rsidRDefault="004E292F" w:rsidP="004E292F">
      <w:pPr>
        <w:numPr>
          <w:ilvl w:val="0"/>
          <w:numId w:val="1"/>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Ask for time to adjust your clothing/hijab without the physician present in the room</w:t>
      </w:r>
    </w:p>
    <w:p w14:paraId="0F6906DC" w14:textId="77777777" w:rsidR="004E292F" w:rsidRPr="004E292F" w:rsidRDefault="004E292F" w:rsidP="004E292F">
      <w:pPr>
        <w:numPr>
          <w:ilvl w:val="0"/>
          <w:numId w:val="2"/>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Ask to postpone your physical exam until a same-gendered physician is available</w:t>
      </w:r>
    </w:p>
    <w:p w14:paraId="4B38CFCE" w14:textId="77777777" w:rsidR="004E292F" w:rsidRPr="004E292F" w:rsidRDefault="004E292F" w:rsidP="004E292F">
      <w:pPr>
        <w:spacing w:after="0" w:line="240" w:lineRule="auto"/>
        <w:rPr>
          <w:rFonts w:asciiTheme="minorBidi" w:eastAsia="Times New Roman" w:hAnsiTheme="minorBidi"/>
          <w:lang w:eastAsia="en-CA"/>
        </w:rPr>
      </w:pPr>
    </w:p>
    <w:p w14:paraId="5D890047" w14:textId="77777777" w:rsidR="004E292F" w:rsidRPr="004E292F" w:rsidRDefault="004E292F" w:rsidP="004E292F">
      <w:pPr>
        <w:spacing w:line="240" w:lineRule="auto"/>
        <w:rPr>
          <w:rFonts w:asciiTheme="minorBidi" w:eastAsia="Times New Roman" w:hAnsiTheme="minorBidi"/>
          <w:lang w:eastAsia="en-CA"/>
        </w:rPr>
      </w:pPr>
      <w:r w:rsidRPr="004E292F">
        <w:rPr>
          <w:rFonts w:asciiTheme="minorBidi" w:eastAsia="Times New Roman" w:hAnsiTheme="minorBidi"/>
          <w:b/>
          <w:bCs/>
          <w:color w:val="000000"/>
          <w:lang w:eastAsia="en-CA"/>
        </w:rPr>
        <w:t>Medically Relevant Details</w:t>
      </w:r>
    </w:p>
    <w:p w14:paraId="090B10A4" w14:textId="4EEC37E1" w:rsidR="004E292F" w:rsidRPr="004E292F" w:rsidRDefault="004E292F" w:rsidP="005F7B84">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There are certain Islamic practices which are relevant to concerns brought up in dermatology. </w:t>
      </w:r>
    </w:p>
    <w:p w14:paraId="088A25BE" w14:textId="77777777" w:rsidR="004E292F" w:rsidRPr="004E292F" w:rsidRDefault="004E292F" w:rsidP="004E292F">
      <w:pPr>
        <w:numPr>
          <w:ilvl w:val="0"/>
          <w:numId w:val="3"/>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i/>
          <w:iCs/>
          <w:color w:val="000000"/>
          <w:lang w:eastAsia="en-CA"/>
        </w:rPr>
        <w:t>Wudu</w:t>
      </w:r>
      <w:r w:rsidRPr="004E292F">
        <w:rPr>
          <w:rFonts w:asciiTheme="minorBidi" w:eastAsia="Times New Roman" w:hAnsiTheme="minorBidi"/>
          <w:color w:val="000000"/>
          <w:lang w:eastAsia="en-CA"/>
        </w:rPr>
        <w:t xml:space="preserve"> and xerosis (dry skin) </w:t>
      </w:r>
    </w:p>
    <w:p w14:paraId="36D6AC69" w14:textId="4F0E9DC3" w:rsidR="004E292F" w:rsidRPr="004E292F" w:rsidRDefault="004E292F" w:rsidP="004E292F">
      <w:pPr>
        <w:spacing w:after="0" w:line="240" w:lineRule="auto"/>
        <w:ind w:left="720"/>
        <w:rPr>
          <w:rFonts w:asciiTheme="minorBidi" w:eastAsia="Times New Roman" w:hAnsiTheme="minorBidi"/>
          <w:lang w:eastAsia="en-CA"/>
        </w:rPr>
      </w:pPr>
      <w:r w:rsidRPr="004E292F">
        <w:rPr>
          <w:rFonts w:asciiTheme="minorBidi" w:eastAsia="Times New Roman" w:hAnsiTheme="minorBidi"/>
          <w:i/>
          <w:iCs/>
          <w:color w:val="000000"/>
          <w:lang w:eastAsia="en-CA"/>
        </w:rPr>
        <w:t xml:space="preserve">Wudu </w:t>
      </w:r>
      <w:r w:rsidRPr="004E292F">
        <w:rPr>
          <w:rFonts w:asciiTheme="minorBidi" w:eastAsia="Times New Roman" w:hAnsiTheme="minorBidi"/>
          <w:color w:val="000000"/>
          <w:lang w:eastAsia="en-CA"/>
        </w:rPr>
        <w:t xml:space="preserve">(ablution) involves repeatedly washing the hands, face, arms, and feet throughout the day. This frequent washing of the skin, particularly in the presence of a pre-existing skin condition, can worsen dryness </w:t>
      </w:r>
      <w:r w:rsidRPr="009D2FB8">
        <w:rPr>
          <w:rFonts w:asciiTheme="minorBidi" w:eastAsia="Times New Roman" w:hAnsiTheme="minorBidi"/>
          <w:color w:val="000000"/>
          <w:lang w:eastAsia="en-CA"/>
        </w:rPr>
        <w:fldChar w:fldCharType="begin" w:fldLock="1"/>
      </w:r>
      <w:r w:rsidR="005F7B84" w:rsidRPr="009D2FB8">
        <w:rPr>
          <w:rFonts w:asciiTheme="minorBidi" w:eastAsia="Times New Roman" w:hAnsiTheme="minorBidi"/>
          <w:color w:val="000000"/>
          <w:lang w:eastAsia="en-CA"/>
        </w:rPr>
        <w:instrText>ADDIN CSL_CITATION {"citationItems":[{"id":"ITEM-1","itemData":{"DOI":"10.1016/s0733-8635(18)30432-7","ISSN":"07338635","PMID":"2022097","abstract":"Lubrication of the skin will become more important as our population ages. Many excellent moisturizers are available for lubrication. Individual ingredients that are touted heavily are not as important as the total mixture. The single most important factor is the regular use of the products to prevent overdrying of the skin. How should we use this information to achieve our aims? 1. The frequency of bathing, showering, and cleansing should be reduced. The water should be kept at the coolest temperature practical, and one should get out as soon as possible. Sponge bathing should be encouraged. Bath oils make tubs slippery and are wiped off by towels. It is better to apply an emollient directly on skin that is still damp. 2. Room temperatures should be kept low and comfortable and humidity should be kept as high as possible without causing damage. 3. Overdrying should be avoided by limiting the exposure to soap, detergents, solvents, and water. In addition, friction from washcloths, rough clothing, and abrasives should be avoided. 4. Emollients should be used frequently and selected to be compatible with the individual's situation. Bedridden individuals should use petrolatum, whereas the ambulatory would be better served by the use of lotions and creams. 5. If itching is present or reticulated cracking (eczema craquele) is seen, more aggressive treatment is indicated, including possible use of topical steroid preparations. 6. A preparation that is cosmetically acceptable, so that it will be used regularly, should be prescribed. One must emphasize its importance so that the individual avoids serious and chronic dermatitis.","author":[{"dropping-particle":"","family":"Lazar","given":"A. P.","non-dropping-particle":"","parse-names":false,"suffix":""},{"dropping-particle":"","family":"Lazar","given":"P.","non-dropping-particle":"","parse-names":false,"suffix":""}],"container-title":"Dermatologic Clinics","id":"ITEM-1","issue":"1","issued":{"date-parts":[["1991","1","1"]]},"page":"45-51","title":"Dry skin, water, and lubrication","type":"article","volume":"9"},"uris":["http://www.mendeley.com/documents/?uuid=a0c6ec91-ac8a-3c5a-963b-69d3efeabf10"]},{"id":"ITEM-2","itemData":{"ISSN":"15471896","author":[{"dropping-particle":"","family":"Greenberg","given":"Michael","non-dropping-particle":"","parse-names":false,"suffix":""},{"dropping-particle":"","family":"Galiczynski","given":"Heather","non-dropping-particle":"","parse-names":false,"suffix":""},{"dropping-particle":"","family":"Edward M. Galiczynski","given":"Jr.","non-dropping-particle":"","parse-names":false,"suffix":""}],"container-title":"JAAPA-Journal of the American Academy of Physicians Assistants","id":"ITEM-2","issue":"9","issued":{"date-parts":[["2004","9","1"]]},"page":"26-31","publisher":"Haymarket Media, Inc.","title":"Dry skin: common causes, effective treatments: ruling out systemic causes is the first step to diagnosing xerosis, and patient education is the key to management. The good news is that dry skin can usually be managed effectively and inexpensively","type":"article-journal","volume":"17"},"uris":["http://www.mendeley.com/documents/?uuid=72fff333-13fb-3980-a9ea-323165e073b8"]},{"id":"ITEM-3","itemData":{"DOI":"10.1111/j.1610-0387.2005.05068.x","ISSN":"16100379","abstract":"Dry skin (xerosis) is a common symptom of a number of chronic skin diseases, such as atopic dermatitis, but can also be caused by environmental factors, such as cold weather and frequent showering. The condition can cause unsightliness of the skin, discomfort, itching, and can have a negative impact on patients' quality of life. This article will cover recent developments in the understanding of xerosis and its management with emollients. The stratum corneum consists of corneocytes and lipid-enriched intercellular bilayers. These are both produced from keratinocytes in a process called epidermal differentiation. Disturbed epidermal differentiation, resulting in the impairment of stratum corneum intercellular lipid bilayers and natural moisturizing factor, is the root cause of xerosis. The constituent ingredients of emollients should, therefore, address the different factors that contribute to dry skin and, most importantly, attempt to restore epidermal differentiation. The use of lipids, physiological lipids, humectants and antipruritics will help to restore the lipid lamellae, improve skin hydration, skin elasticity and prevent itching. The ideal emollient will include these ingredients plus an agent to support epidermal differentiation. Selecting the correct emollient product and using it regularly are vital factors in the management of xerosis. © Blackwell Verlag GmbH.","author":[{"dropping-particle":"","family":"Proksch","given":"Ehrhardt","non-dropping-particle":"","parse-names":false,"suffix":""},{"dropping-particle":"","family":"Lachapelle","given":"Jean Marie","non-dropping-particle":"","parse-names":false,"suffix":""}],"container-title":"JDDG - Journal of the German Society of Dermatology","id":"ITEM-3","issue":"10","issued":{"date-parts":[["2005","10"]]},"page":"768-774","publisher":"J Dtsch Dermatol Ges","title":"The management of dry skin with topical emollients - Recent perspectives","type":"article","volume":"3"},"uris":["http://www.mendeley.com/documents/?uuid=29911434-4990-3fc7-9709-33f1e8edfb66"]}],"mendeley":{"formattedCitation":"[5]–[7]","manualFormatting":"[5–7]","plainTextFormattedCitation":"[5]–[7]","previouslyFormattedCitation":"[5]–[7]"},"properties":{"noteIndex":0},"schema":"https://github.com/citation-style-language/schema/raw/master/csl-citation.json"}</w:instrText>
      </w:r>
      <w:r w:rsidRPr="009D2FB8">
        <w:rPr>
          <w:rFonts w:asciiTheme="minorBidi" w:eastAsia="Times New Roman" w:hAnsiTheme="minorBidi"/>
          <w:color w:val="000000"/>
          <w:lang w:eastAsia="en-CA"/>
        </w:rPr>
        <w:fldChar w:fldCharType="separate"/>
      </w:r>
      <w:r w:rsidRPr="009D2FB8">
        <w:rPr>
          <w:rFonts w:asciiTheme="minorBidi" w:eastAsia="Times New Roman" w:hAnsiTheme="minorBidi"/>
          <w:noProof/>
          <w:color w:val="000000"/>
          <w:lang w:eastAsia="en-CA"/>
        </w:rPr>
        <w:t>[5–7]</w:t>
      </w:r>
      <w:r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If you are unable to perform wudu safely,</w:t>
      </w:r>
      <w:r w:rsidRPr="004E292F">
        <w:rPr>
          <w:rFonts w:asciiTheme="minorBidi" w:eastAsia="Times New Roman" w:hAnsiTheme="minorBidi"/>
          <w:i/>
          <w:iCs/>
          <w:color w:val="000000"/>
          <w:lang w:eastAsia="en-CA"/>
        </w:rPr>
        <w:t xml:space="preserve"> tayammum</w:t>
      </w:r>
      <w:r w:rsidRPr="004E292F">
        <w:rPr>
          <w:rFonts w:asciiTheme="minorBidi" w:eastAsia="Times New Roman" w:hAnsiTheme="minorBidi"/>
          <w:color w:val="000000"/>
          <w:lang w:eastAsia="en-CA"/>
        </w:rPr>
        <w:t xml:space="preserve"> is a water-free alternative</w:t>
      </w:r>
      <w:r w:rsidR="005F7B84" w:rsidRPr="009D2FB8">
        <w:rPr>
          <w:rFonts w:asciiTheme="minorBidi" w:eastAsia="Times New Roman" w:hAnsiTheme="minorBidi"/>
          <w:color w:val="000000"/>
          <w:lang w:eastAsia="en-CA"/>
        </w:rPr>
        <w:t xml:space="preserve"> </w:t>
      </w:r>
      <w:r w:rsidR="005F7B84"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{"citationItems":[{"id":"ITEM-1","itemData":{"URL":"https://sunnah.com/bukhari/7","accessed":{"date-parts":[["2020","11","29"]]},"id":"ITEM-1","issued":{"date-parts":[["0"]]},"title":"Book of Rubbing hands and feet with dust (Tayammum) - Sahih al-Bukhari ","type":"webpage"},"uris":["http://www.mendeley.com/documents/?uuid=f0068de0-12db-3d2b-b5a9-bb157970a7af"]}],"mendeley":{"formattedCitation":"[8]","plainTextFormattedCitation":"[8]","previouslyFormattedCitation":"[8]"},"properties":{"noteIndex":0},"schema":"https://github.com/citation-style-language/schema/raw/master/csl-citation.json"}</w:instrText>
      </w:r>
      <w:r w:rsidR="005F7B84" w:rsidRPr="009D2FB8">
        <w:rPr>
          <w:rFonts w:asciiTheme="minorBidi" w:eastAsia="Times New Roman" w:hAnsiTheme="minorBidi"/>
          <w:color w:val="000000"/>
          <w:lang w:eastAsia="en-CA"/>
        </w:rPr>
        <w:fldChar w:fldCharType="separate"/>
      </w:r>
      <w:r w:rsidR="005F7B84" w:rsidRPr="009D2FB8">
        <w:rPr>
          <w:rFonts w:asciiTheme="minorBidi" w:eastAsia="Times New Roman" w:hAnsiTheme="minorBidi"/>
          <w:noProof/>
          <w:color w:val="000000"/>
          <w:lang w:eastAsia="en-CA"/>
        </w:rPr>
        <w:t>[8]</w:t>
      </w:r>
      <w:r w:rsidR="005F7B84"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w:t>
      </w:r>
    </w:p>
    <w:p w14:paraId="64A10F6F" w14:textId="451F572F" w:rsidR="004E292F" w:rsidRPr="009D2FB8" w:rsidRDefault="004E292F" w:rsidP="004E292F">
      <w:pPr>
        <w:spacing w:after="0" w:line="240" w:lineRule="auto"/>
        <w:ind w:left="720"/>
        <w:rPr>
          <w:rFonts w:asciiTheme="minorBidi" w:eastAsia="Times New Roman" w:hAnsiTheme="minorBidi"/>
          <w:lang w:eastAsia="en-CA"/>
        </w:rPr>
      </w:pPr>
      <w:r w:rsidRPr="009D2FB8">
        <w:rPr>
          <w:rFonts w:asciiTheme="minorBidi" w:eastAsia="Times New Roman" w:hAnsiTheme="minorBidi"/>
          <w:noProof/>
          <w:lang w:eastAsia="en-CA"/>
        </w:rPr>
        <w:drawing>
          <wp:inline distT="0" distB="0" distL="0" distR="0" wp14:anchorId="3F55B5B8" wp14:editId="55B53B60">
            <wp:extent cx="2069206" cy="214788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859" cy="2151680"/>
                    </a:xfrm>
                    <a:prstGeom prst="rect">
                      <a:avLst/>
                    </a:prstGeom>
                    <a:noFill/>
                    <a:ln>
                      <a:noFill/>
                    </a:ln>
                  </pic:spPr>
                </pic:pic>
              </a:graphicData>
            </a:graphic>
          </wp:inline>
        </w:drawing>
      </w:r>
    </w:p>
    <w:p w14:paraId="5E608681" w14:textId="12EE4A8B" w:rsidR="005F7B84" w:rsidRPr="009D2FB8" w:rsidRDefault="005F7B84" w:rsidP="004E292F">
      <w:pPr>
        <w:spacing w:after="0" w:line="240" w:lineRule="auto"/>
        <w:ind w:left="720"/>
        <w:rPr>
          <w:rFonts w:asciiTheme="minorBidi" w:eastAsia="Times New Roman" w:hAnsiTheme="minorBidi"/>
          <w:lang w:eastAsia="en-CA"/>
        </w:rPr>
      </w:pPr>
      <w:r w:rsidRPr="009D2FB8">
        <w:rPr>
          <w:rFonts w:asciiTheme="minorBidi" w:eastAsia="Times New Roman" w:hAnsiTheme="minorBidi"/>
          <w:lang w:eastAsia="en-CA"/>
        </w:rPr>
        <w:t xml:space="preserve">Courtesy of Muslim patient with wudu-exacerbated xerosis </w:t>
      </w:r>
    </w:p>
    <w:p w14:paraId="07F2FED8" w14:textId="77777777" w:rsidR="004E292F" w:rsidRPr="004E292F" w:rsidRDefault="004E292F" w:rsidP="004E292F">
      <w:pPr>
        <w:spacing w:after="0" w:line="240" w:lineRule="auto"/>
        <w:ind w:left="720"/>
        <w:rPr>
          <w:rFonts w:asciiTheme="minorBidi" w:eastAsia="Times New Roman" w:hAnsiTheme="minorBidi"/>
          <w:lang w:eastAsia="en-CA"/>
        </w:rPr>
      </w:pPr>
    </w:p>
    <w:p w14:paraId="11DA069E" w14:textId="77777777" w:rsidR="004E292F" w:rsidRPr="004E292F" w:rsidRDefault="004E292F" w:rsidP="004E292F">
      <w:pPr>
        <w:numPr>
          <w:ilvl w:val="0"/>
          <w:numId w:val="4"/>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i/>
          <w:iCs/>
          <w:color w:val="000000"/>
          <w:lang w:eastAsia="en-CA"/>
        </w:rPr>
        <w:t>Hijab</w:t>
      </w:r>
      <w:r w:rsidRPr="004E292F">
        <w:rPr>
          <w:rFonts w:asciiTheme="minorBidi" w:eastAsia="Times New Roman" w:hAnsiTheme="minorBidi"/>
          <w:color w:val="000000"/>
          <w:lang w:eastAsia="en-CA"/>
        </w:rPr>
        <w:t xml:space="preserve"> and hair care </w:t>
      </w:r>
    </w:p>
    <w:p w14:paraId="743CA773" w14:textId="2D087FB0" w:rsidR="004E292F" w:rsidRPr="004E292F" w:rsidRDefault="004E292F" w:rsidP="004E292F">
      <w:pPr>
        <w:spacing w:after="0" w:line="240" w:lineRule="auto"/>
        <w:ind w:left="720"/>
        <w:rPr>
          <w:rFonts w:asciiTheme="minorBidi" w:eastAsia="Times New Roman" w:hAnsiTheme="minorBidi"/>
          <w:lang w:eastAsia="en-CA"/>
        </w:rPr>
      </w:pPr>
      <w:r w:rsidRPr="004E292F">
        <w:rPr>
          <w:rFonts w:asciiTheme="minorBidi" w:eastAsia="Times New Roman" w:hAnsiTheme="minorBidi"/>
          <w:i/>
          <w:iCs/>
          <w:color w:val="000000"/>
          <w:lang w:eastAsia="en-CA"/>
        </w:rPr>
        <w:t xml:space="preserve">Hijab </w:t>
      </w:r>
      <w:r w:rsidRPr="004E292F">
        <w:rPr>
          <w:rFonts w:asciiTheme="minorBidi" w:eastAsia="Times New Roman" w:hAnsiTheme="minorBidi"/>
          <w:color w:val="000000"/>
          <w:lang w:eastAsia="en-CA"/>
        </w:rPr>
        <w:t>is the Arabic word for ‘partition’ and refers to the religious attire worn by Muslims. The term is often used colloquially to refer to the headscarf worn by Muslim women.  While</w:t>
      </w:r>
      <w:r w:rsidRPr="004E292F">
        <w:rPr>
          <w:rFonts w:asciiTheme="minorBidi" w:eastAsia="Times New Roman" w:hAnsiTheme="minorBidi"/>
          <w:i/>
          <w:iCs/>
          <w:color w:val="000000"/>
          <w:lang w:eastAsia="en-CA"/>
        </w:rPr>
        <w:t xml:space="preserve"> hijab </w:t>
      </w:r>
      <w:r w:rsidRPr="004E292F">
        <w:rPr>
          <w:rFonts w:asciiTheme="minorBidi" w:eastAsia="Times New Roman" w:hAnsiTheme="minorBidi"/>
          <w:color w:val="000000"/>
          <w:lang w:eastAsia="en-CA"/>
        </w:rPr>
        <w:t>itself does not cause hair loss or thinning; improper hair care while wearing hijab can lead to hair thinning. This includes wearing synthetic fabrics that create friction leading to hair breakage</w:t>
      </w:r>
      <w:r w:rsidR="009D2FB8" w:rsidRPr="009D2FB8">
        <w:rPr>
          <w:rFonts w:asciiTheme="minorBidi" w:eastAsia="Times New Roman" w:hAnsiTheme="minorBidi"/>
          <w:color w:val="000000"/>
          <w:lang w:eastAsia="en-CA"/>
        </w:rPr>
        <w:t xml:space="preserve"> </w:t>
      </w:r>
      <w:r w:rsidR="009D2FB8"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{"citationItems":[{"id":"ITEM-1","itemData":{"DOI":"10.1159/000247256","ISSN":"14219832","abstract":"The effect of different types of textile fabrics on hair growth was investigated in 40 mongrel dogs divided into 5 groups. An area of 10 x 20 cm on the dog's back was shaved: half of this area was covered by a textile patch of 100% polyester material in the 1st group. 100% cotton in the 2nd group. 100% wool in the 3rd group and a 50%/50% polyester/cotton blend in the 4th group. The remaining half of the shaved area in the 4 groups as well as the whole area in the 5th group (control) were left uncovered. The textile patch was worn for 2 months. The polyester-covered hair grew at a significantly lower rate and density than in the uncovered area of the same animal and the controls (p&lt;0.0l). The hair color was similar to that of the surrounding uncovered hair. This is in contrast to cotton- and wool-covered skin area which showed nonsignificant differences in hair density, growth rate and color (p&gt;0.05) against the uncovered area and controls. In the polyester-covered skin, a thinning of the epidermis of the skin was noted microscopically with fragmentation and vacuolation of the hair follicle pulp. The study has shown that the polyester material generated electrostatic potentials, which may have inhibited hair growth, whereas cotton and woolen textiles did not. Friction between the polyester textile and the skin generates electrostatic charges which are suggested to create an \"electrostatic field' that seems to be responsible for the inhibited hair growth. © 1993 S. Karger AG, Basel.","author":[{"dropping-particle":"","family":"Shafik","given":"Ahmed","non-dropping-particle":"","parse-names":false,"suffix":""}],"container-title":"Dermatology","id":"ITEM-1","issue":"4","issued":{"date-parts":[["1993"]]},"page":"239-242","publisher":"Dermatology","title":"Polyester but not cotton or wool textiles inhibit hair growth","type":"article-journal","volume":"187"},"uris":["http://www.mendeley.com/documents/?uuid=8fa8c66c-cd6d-3c26-be38-e2a2ac7eafd1"]}],"mendeley":{"formattedCitation":"[9]","plainTextFormattedCitation":"[9]","previouslyFormattedCitation":"[9]"},"properties":{"noteIndex":0},"schema":"https://github.com/citation-style-language/schema/raw/master/csl-citation.json"}</w:instrText>
      </w:r>
      <w:r w:rsidR="009D2FB8" w:rsidRPr="009D2FB8">
        <w:rPr>
          <w:rFonts w:asciiTheme="minorBidi" w:eastAsia="Times New Roman" w:hAnsiTheme="minorBidi"/>
          <w:color w:val="000000"/>
          <w:lang w:eastAsia="en-CA"/>
        </w:rPr>
        <w:fldChar w:fldCharType="separate"/>
      </w:r>
      <w:r w:rsidR="009D2FB8" w:rsidRPr="009D2FB8">
        <w:rPr>
          <w:rFonts w:asciiTheme="minorBidi" w:eastAsia="Times New Roman" w:hAnsiTheme="minorBidi"/>
          <w:noProof/>
          <w:color w:val="000000"/>
          <w:lang w:eastAsia="en-CA"/>
        </w:rPr>
        <w:t>[9]</w:t>
      </w:r>
      <w:r w:rsidR="009D2FB8"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xml:space="preserve">, tying up hair tightly under your hijab leading to traction alopecia </w:t>
      </w:r>
      <w:r w:rsidR="009D2FB8"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{"citationItems":[{"id":"ITEM-1","itemData":{"DOI":"10.2147/CCID.S137296","ISSN":"11787015","abstract":"Traction alopecia (TA) affects one-third of women of African descent who wear various forms of traumatic hairstyling for a prolonged period of time. The risk of TA is increased by the extent of pulling and duration of traction, as well as the use of chemical relaxation. The frequent use of tight buns or ponytails, the attachment of weaves or hair extensions, and tight braids (such as cornrows and dreadlocks) are believed to be the highest risk hairstyles. TA can also occur in the setting of religious and occupational traumatic hairstyling. In its later stages, the disease may progress into an irreversible scarring alopecia if traumatic hairstyling continues without appropriate intervention. The most common clinical presentation includes marginal alopecia and non-marginal patchy alopecia. A clue to the clinical diagnosis is the preservation of the fringe sign as opposed to its loss in frontal fibrosing alopecia (FFA). Dermoscopy can be helpful in the diagnosis and can detect the ongoing traction by the presence of hair casts. Histopathology can distinguish TA from alopecia areata, FFA, and patchy central centrifugal cicatricial alopecia. Currently, there is no cure. Therefore, it is imperative that clinicians educate high-risk populations about TA and those practices that may convey the risk of hair loss.","author":[{"dropping-particle":"","family":"Billero","given":"Victoria","non-dropping-particle":"","parse-names":false,"suffix":""},{"dropping-particle":"","family":"Miteva","given":"Mariya","non-dropping-particle":"","parse-names":false,"suffix":""}],"container-title":"Clinical, Cosmetic and Investigational Dermatology","id":"ITEM-1","issued":{"date-parts":[["2018","4","6"]]},"page":"149-159","publisher":"Dove Medical Press Ltd.","title":"Traction alopecia: The root of the problem","type":"article","volume":"11"},"uris":["http://www.mendeley.com/documents/?uuid=8653c2eb-e672-32b0-800f-e6b61bd32d4f"]}],"mendeley":{"formattedCitation":"[10]","plainTextFormattedCitation":"[10]","previouslyFormattedCitation":"[10]"},"properties":{"noteIndex":0},"schema":"https://github.com/citation-style-language/schema/raw/master/csl-citation.json"}</w:instrText>
      </w:r>
      <w:r w:rsidR="009D2FB8" w:rsidRPr="009D2FB8">
        <w:rPr>
          <w:rFonts w:asciiTheme="minorBidi" w:eastAsia="Times New Roman" w:hAnsiTheme="minorBidi"/>
          <w:color w:val="000000"/>
          <w:lang w:eastAsia="en-CA"/>
        </w:rPr>
        <w:fldChar w:fldCharType="separate"/>
      </w:r>
      <w:r w:rsidR="009D2FB8" w:rsidRPr="009D2FB8">
        <w:rPr>
          <w:rFonts w:asciiTheme="minorBidi" w:eastAsia="Times New Roman" w:hAnsiTheme="minorBidi"/>
          <w:noProof/>
          <w:color w:val="000000"/>
          <w:lang w:eastAsia="en-CA"/>
        </w:rPr>
        <w:t>[10]</w:t>
      </w:r>
      <w:r w:rsidR="009D2FB8"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xml:space="preserve">, or tying up hair while it is still wet </w:t>
      </w:r>
      <w:r w:rsidR="009D2FB8"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{"citationItems":[{"id":"ITEM-1","itemData":{"DOI":"10.1007/978-3-642-25611-0","abstract":"Human hair is the subject of a remarkably wide range of scientific investigations. Its chemical and physical properties are of importance to the cosmetics industry, forensic scientists, and to biomedical researchers. The fourth edition of this book confirms its position as the definitive monograph on the subject. Previous editions of this book were recognized as \"concise and thorough\" Features of the Fourth Edition:* New information on chemical damage from permanent waving, bleaching and sunlight and how to minimize or prevent this damage. * A new view of the cause of dandruff is presented with new supporting data. This view suggests new approaches for both treatment and for marketing of scalp care products. * The latest information on the science of hair growth and hair growth stimulating agents is provided, including Propecia. * A new section has been added on skin and eye irritation and skin sensitization from ingredients used in hair care, and a model has been provided to predict relative skin irritation of shampoos. * New micrographs on \"normal hair fiber shape variations\" and how fiber shape can influence chemical and physical interactions of hair fibers will be covered. * Additional material is now included on hair straightening.(Journal of the American Chemical Society), \"an invaluable resource\" (Canadian Forensic Science Society Journal), and \"highly recommended\" (Textile Research Journal). Chemical and Physical Behavior of Human Hair is a teaching guide and reference volume for cosmetic chemists and other scientists in the hair products industry, academic researchers studying hair and hair growth, textile scientists, and forensic specialists.","author":[{"dropping-particle":"","family":"Robbins","given":"Clarence R.","non-dropping-particle":"","parse-names":false,"suffix":""}],"container-title":"Chemical and Physical Behavior of Human Hair","id":"ITEM-1","issued":{"date-parts":[["2012"]]},"publisher":"Springer Berlin Heidelberg","title":"Chemical and Physical Behavior of Human Hair","type":"book"},"uris":["http://www.mendeley.com/documents/?uuid=8e614a77-8ff7-3814-99da-9c6d141ea68c"]}],"mendeley":{"formattedCitation":"[11]","plainTextFormattedCitation":"[11]","previouslyFormattedCitation":"[11]"},"properties":{"noteIndex":0},"schema":"https://github.com/citation-style-language/schema/raw/master/csl-citation.json"}</w:instrText>
      </w:r>
      <w:r w:rsidR="009D2FB8" w:rsidRPr="009D2FB8">
        <w:rPr>
          <w:rFonts w:asciiTheme="minorBidi" w:eastAsia="Times New Roman" w:hAnsiTheme="minorBidi"/>
          <w:color w:val="000000"/>
          <w:lang w:eastAsia="en-CA"/>
        </w:rPr>
        <w:fldChar w:fldCharType="separate"/>
      </w:r>
      <w:r w:rsidR="009D2FB8" w:rsidRPr="009D2FB8">
        <w:rPr>
          <w:rFonts w:asciiTheme="minorBidi" w:eastAsia="Times New Roman" w:hAnsiTheme="minorBidi"/>
          <w:noProof/>
          <w:color w:val="000000"/>
          <w:lang w:eastAsia="en-CA"/>
        </w:rPr>
        <w:t>[11]</w:t>
      </w:r>
      <w:r w:rsidR="009D2FB8"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xml:space="preserve">. Furthermore, women who observe hijab, particularly those living in northern climates, are at an increased risk of vitamin D deficiency which may impact your hair health </w:t>
      </w:r>
      <w:r w:rsidR="009D2FB8"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{"citationItems":[{"id":"ITEM-1","itemData":{"DOI":"10.3109/03014460903527348","ISSN":"03014460","PMID":"20166840","abstract":"This study was conducted to determine the frequency of vitamin D deficiency and its correlation with different factors. Three hundred and thirteen healthy children and adolescents (192 females and 121 males aged 818 years, mean ± SD, 12.7 ± 2.3 years) were enrolled, and measurements of serum 25-hydroxyvitamin D [25(OH)D] (using EIA) and intact parathyroid hormone (iPTH) (using immunoradiometric assay (IRMA)) were conducted. The grades of vitamin D status were defined according to blood level of 25(OH)D as follows: severely deficient &lt; 12.5; deficient, ≥ 12.5 and &lt; 25; insufficient, ≥ 25 and &lt; 50; normal ≥ 50 and &lt; 250 nmol/L. Severe deficiency was detected in 25% of subjects (males 8%; females 92%), deficiency in 27% (males 34%; females 66%) and insufficiency in 26% (males 58%; females 42%). The mean 25(OH)D level in males was significantly greater than that in females (p &lt; 0.001), and this level was significantly higher in prepubertal compared to pubertal subjects (p &lt; 0.001). 25(OH)D had a negative correlation with iPTH (p &lt; 0.001). The curve of iPTH began to rise when 25(OH)D reached 75 nmol/L. The level of 25(OH)D had a negative correlation with BMI-SDS and height-SDS in females (p-value, 0.01 and 0.039, respectively). The subjects did not have any signs or symptoms of rickets. Frequency of vitamin D deficiency did not have any significant seasonal variation. Furthermore, vitamin D deficiency was not found to be related to the type or location of the subjects' homes. In this study, subclinical vitamin D deficiency was significantly more prevalent in females, particularly those undergoing puberty. Children who were obese and taller than average, had lower levels of 25(OH)D, and level of 25(OH)D should be maintained &gt; 75 nmol/L in order to prevent PTH rising. © 2010 Informa UK, Ltd.","author":[{"dropping-particle":"","family":"Razzaghy-Azar","given":"Maryam","non-dropping-particle":"","parse-names":false,"suffix":""},{"dropping-particle":"","family":"Shakiba","given":"Marjan","non-dropping-particle":"","parse-names":false,"suffix":""}],"container-title":"Annals of Human Biology","id":"ITEM-1","issue":"5","issued":{"date-parts":[["2010","9"]]},"page":"692-701","publisher":"Taylor &amp; Francis","title":"Assessment of vitamin D status in healthy children and adolescents living in Tehran and its relation to iPTH, gender, weight and height","type":"article","volume":"37"},"uris":["http://www.mendeley.com/documents/?uuid=b8a037a3-b387-3870-8e48-38253362b08d"]},{"id":"ITEM-2","itemData":{"DOI":"10.1093/jn/135.2.218","ISSN":"00223166","PMID":"15671216","abstract":"Vitamin D deficiency continues to be a worldwide problem, especially in developing countries. The aim of this study was to investigate potential risk factors for vitamin D deficiency. Girls (n = 89) aged 13 to 17 y were enrolled in the study. Study subjects were stratified into 3 groups: Group I included girls living in a suburban area; Group II girls lived in an urban area, and Group III girls lived in an urban area and wore concealing clothes for religious reasons. At the end of winter (in April) serum 25-hydroxyvitamin D [25(OH)D] levels were measured and dietary data were collected using questionnaires. Vitamin D deficiency was defined as a serum 25(OH)D concentration &lt; 25 nmol/L, and insufficiency as a 25(OH)D concentration between 25 and 50 nmol/L. The lumbar and femur neck bone mineral densities (BMD) were measured using dual X-ray absorptiometry (DEXA). Overall, 39 girls (43.8%) had vitamin D insufficiency and 19 (21.3%) had vitamin D deficiency. In group III (wearing covered dress) the serum 25(OH)D concentrations (28.13 ± 12.53 nmol/L) were significantly lower than in the other 2 groups, and within this group, 50% of girls were vitamin D deficient. The lumbar and femur neck BMD of girls with lower 25(OH)D levels did not differ from those with adequate vitamin D levels. We conclude that vitamin D deficiency is an important problem in Turkish adolescent girls, especially in those who follow a religious dress code; therefore, vitamin D supplementation appears to be necessary for adolescent girls.","author":[{"dropping-particle":"","family":"Hatun","given":"Sukru","non-dropping-particle":"","parse-names":false,"suffix":""},{"dropping-particle":"","family":"Islam","given":"Ömer","non-dropping-particle":"","parse-names":false,"suffix":""},{"dropping-particle":"","family":"Cizmecioglu","given":"Filiz","non-dropping-particle":"","parse-names":false,"suffix":""},{"dropping-particle":"","family":"Kara","given":"Bulent","non-dropping-particle":"","parse-names":false,"suffix":""},{"dropping-particle":"","family":"Babaoglu","given":"Kadir","non-dropping-particle":"","parse-names":false,"suffix":""},{"dropping-particle":"","family":"Berk","given":"Fatma","non-dropping-particle":"","parse-names":false,"suffix":""},{"dropping-particle":"","family":"Gökalp","given":"Ayse Sevim","non-dropping-particle":"","parse-names":false,"suffix":""}],"container-title":"Journal of Nutrition","id":"ITEM-2","issue":"2","issued":{"date-parts":[["2005"]]},"page":"218-222","publisher":"American Institute of Nutrition","title":"Subclinical vitamin D deficiency is increased in adolescent girls who wear concealing clothing","type":"paper-conference","volume":"135"},"uris":["http://www.mendeley.com/documents/?uuid=c3910c57-a864-3134-8d18-8953fbb98bf1"]}],"mendeley":{"formattedCitation":"[12], [13]","manualFormatting":"[12-13]","plainTextFormattedCitation":"[12], [13]","previouslyFormattedCitation":"[12], [13]"},"properties":{"noteIndex":0},"schema":"https://github.com/citation-style-language/schema/raw/master/csl-citation.json"}</w:instrText>
      </w:r>
      <w:r w:rsidR="009D2FB8" w:rsidRPr="009D2FB8">
        <w:rPr>
          <w:rFonts w:asciiTheme="minorBidi" w:eastAsia="Times New Roman" w:hAnsiTheme="minorBidi"/>
          <w:color w:val="000000"/>
          <w:lang w:eastAsia="en-CA"/>
        </w:rPr>
        <w:fldChar w:fldCharType="separate"/>
      </w:r>
      <w:r w:rsidR="009D2FB8" w:rsidRPr="009D2FB8">
        <w:rPr>
          <w:rFonts w:asciiTheme="minorBidi" w:eastAsia="Times New Roman" w:hAnsiTheme="minorBidi"/>
          <w:noProof/>
          <w:color w:val="000000"/>
          <w:lang w:eastAsia="en-CA"/>
        </w:rPr>
        <w:t>[12-13]</w:t>
      </w:r>
      <w:r w:rsidR="009D2FB8"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Discussing your hair care practices with your dermatologist may help you recognize some possible reasons for hair thinning. </w:t>
      </w:r>
    </w:p>
    <w:p w14:paraId="55F0CEA1" w14:textId="77777777" w:rsidR="004E292F" w:rsidRPr="004E292F" w:rsidRDefault="004E292F" w:rsidP="004E292F">
      <w:pPr>
        <w:spacing w:after="0" w:line="240" w:lineRule="auto"/>
        <w:rPr>
          <w:rFonts w:asciiTheme="minorBidi" w:eastAsia="Times New Roman" w:hAnsiTheme="minorBidi"/>
          <w:lang w:eastAsia="en-CA"/>
        </w:rPr>
      </w:pPr>
    </w:p>
    <w:p w14:paraId="1233C70A" w14:textId="77777777" w:rsidR="004E292F" w:rsidRPr="004E292F" w:rsidRDefault="004E292F" w:rsidP="004E292F">
      <w:pPr>
        <w:numPr>
          <w:ilvl w:val="0"/>
          <w:numId w:val="5"/>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 xml:space="preserve">The mark of </w:t>
      </w:r>
      <w:proofErr w:type="spellStart"/>
      <w:r w:rsidRPr="004E292F">
        <w:rPr>
          <w:rFonts w:asciiTheme="minorBidi" w:eastAsia="Times New Roman" w:hAnsiTheme="minorBidi"/>
          <w:i/>
          <w:iCs/>
          <w:color w:val="000000"/>
          <w:lang w:eastAsia="en-CA"/>
        </w:rPr>
        <w:t>sujood</w:t>
      </w:r>
      <w:proofErr w:type="spellEnd"/>
      <w:r w:rsidRPr="004E292F">
        <w:rPr>
          <w:rFonts w:asciiTheme="minorBidi" w:eastAsia="Times New Roman" w:hAnsiTheme="minorBidi"/>
          <w:i/>
          <w:iCs/>
          <w:color w:val="000000"/>
          <w:lang w:eastAsia="en-CA"/>
        </w:rPr>
        <w:t xml:space="preserve"> </w:t>
      </w:r>
      <w:r w:rsidRPr="004E292F">
        <w:rPr>
          <w:rFonts w:asciiTheme="minorBidi" w:eastAsia="Times New Roman" w:hAnsiTheme="minorBidi"/>
          <w:color w:val="000000"/>
          <w:lang w:eastAsia="en-CA"/>
        </w:rPr>
        <w:t>/ “Devotion” sign</w:t>
      </w:r>
    </w:p>
    <w:p w14:paraId="67678839" w14:textId="43F38455" w:rsidR="004E292F" w:rsidRPr="009D2FB8" w:rsidRDefault="004E292F" w:rsidP="004E292F">
      <w:pPr>
        <w:spacing w:after="0" w:line="240" w:lineRule="auto"/>
        <w:ind w:left="720"/>
        <w:rPr>
          <w:rFonts w:asciiTheme="minorBidi" w:eastAsia="Times New Roman" w:hAnsiTheme="minorBidi"/>
          <w:color w:val="000000"/>
          <w:lang w:eastAsia="en-CA"/>
        </w:rPr>
      </w:pPr>
      <w:r w:rsidRPr="004E292F">
        <w:rPr>
          <w:rFonts w:asciiTheme="minorBidi" w:eastAsia="Times New Roman" w:hAnsiTheme="minorBidi"/>
          <w:color w:val="000000"/>
          <w:lang w:eastAsia="en-CA"/>
        </w:rPr>
        <w:t>A small, darkened bump on the forehead of someone who regularly prostates on hard surfaces is usually benign. If unfamiliar with the practice, a dermatologist may wonder what created this sign. </w:t>
      </w:r>
    </w:p>
    <w:p w14:paraId="70287DFA" w14:textId="6522C859" w:rsidR="005F7B84" w:rsidRPr="009D2FB8" w:rsidRDefault="005F7B84" w:rsidP="005F7B84">
      <w:pPr>
        <w:spacing w:after="0" w:line="240" w:lineRule="auto"/>
        <w:ind w:left="1440" w:hanging="720"/>
        <w:rPr>
          <w:rFonts w:asciiTheme="minorBidi" w:eastAsia="Times New Roman" w:hAnsiTheme="minorBidi"/>
          <w:lang w:eastAsia="en-CA"/>
        </w:rPr>
      </w:pPr>
      <w:r w:rsidRPr="009D2FB8">
        <w:rPr>
          <w:rFonts w:asciiTheme="minorBidi" w:eastAsia="Times New Roman" w:hAnsiTheme="minorBidi"/>
          <w:noProof/>
          <w:lang w:eastAsia="en-CA"/>
        </w:rPr>
        <w:drawing>
          <wp:inline distT="0" distB="0" distL="0" distR="0" wp14:anchorId="2B4AE5B6" wp14:editId="499FC609">
            <wp:extent cx="1838325" cy="178321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783215"/>
                    </a:xfrm>
                    <a:prstGeom prst="rect">
                      <a:avLst/>
                    </a:prstGeom>
                    <a:noFill/>
                    <a:ln>
                      <a:noFill/>
                    </a:ln>
                  </pic:spPr>
                </pic:pic>
              </a:graphicData>
            </a:graphic>
          </wp:inline>
        </w:drawing>
      </w:r>
    </w:p>
    <w:p w14:paraId="026CDA33" w14:textId="0C59F2DF" w:rsidR="005F7B84" w:rsidRPr="004E292F" w:rsidRDefault="005F7B84" w:rsidP="004E292F">
      <w:pPr>
        <w:spacing w:after="0" w:line="240" w:lineRule="auto"/>
        <w:ind w:left="720"/>
        <w:rPr>
          <w:rFonts w:asciiTheme="minorBidi" w:eastAsia="Times New Roman" w:hAnsiTheme="minorBidi"/>
          <w:lang w:eastAsia="en-CA"/>
        </w:rPr>
      </w:pPr>
      <w:r w:rsidRPr="009D2FB8">
        <w:rPr>
          <w:rFonts w:asciiTheme="minorBidi" w:eastAsia="Times New Roman" w:hAnsiTheme="minorBidi"/>
          <w:lang w:eastAsia="en-CA"/>
        </w:rPr>
        <w:t>Courtesy of Muslim patient with the ‘devotion’ sign</w:t>
      </w:r>
    </w:p>
    <w:p w14:paraId="09E1D863" w14:textId="77777777" w:rsidR="004E292F" w:rsidRPr="004E292F" w:rsidRDefault="004E292F" w:rsidP="004E292F">
      <w:pPr>
        <w:spacing w:after="0" w:line="240" w:lineRule="auto"/>
        <w:rPr>
          <w:rFonts w:asciiTheme="minorBidi" w:eastAsia="Times New Roman" w:hAnsiTheme="minorBidi"/>
          <w:lang w:eastAsia="en-CA"/>
        </w:rPr>
      </w:pPr>
    </w:p>
    <w:p w14:paraId="38371419" w14:textId="77777777" w:rsidR="004E292F" w:rsidRPr="004E292F" w:rsidRDefault="004E292F" w:rsidP="004E292F">
      <w:pPr>
        <w:spacing w:line="240" w:lineRule="auto"/>
        <w:rPr>
          <w:rFonts w:asciiTheme="minorBidi" w:eastAsia="Times New Roman" w:hAnsiTheme="minorBidi"/>
          <w:lang w:eastAsia="en-CA"/>
        </w:rPr>
      </w:pPr>
      <w:r w:rsidRPr="004E292F">
        <w:rPr>
          <w:rFonts w:asciiTheme="minorBidi" w:eastAsia="Times New Roman" w:hAnsiTheme="minorBidi"/>
          <w:b/>
          <w:bCs/>
          <w:color w:val="000000"/>
          <w:lang w:eastAsia="en-CA"/>
        </w:rPr>
        <w:t>Tailoring Treatment</w:t>
      </w:r>
    </w:p>
    <w:p w14:paraId="340ADD86"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i/>
          <w:iCs/>
          <w:color w:val="000000"/>
          <w:lang w:eastAsia="en-CA"/>
        </w:rPr>
        <w:t>Dietary Restrictions </w:t>
      </w:r>
    </w:p>
    <w:p w14:paraId="1FE11A60"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 xml:space="preserve">Muslims may have preferences for medications due to religious dietary restrictions. Within Islamic dietary laws, </w:t>
      </w:r>
      <w:r w:rsidRPr="004E292F">
        <w:rPr>
          <w:rFonts w:asciiTheme="minorBidi" w:eastAsia="Times New Roman" w:hAnsiTheme="minorBidi"/>
          <w:i/>
          <w:iCs/>
          <w:color w:val="000000"/>
          <w:lang w:eastAsia="en-CA"/>
        </w:rPr>
        <w:t>halal</w:t>
      </w:r>
      <w:r w:rsidRPr="004E292F">
        <w:rPr>
          <w:rFonts w:asciiTheme="minorBidi" w:eastAsia="Times New Roman" w:hAnsiTheme="minorBidi"/>
          <w:color w:val="000000"/>
          <w:lang w:eastAsia="en-CA"/>
        </w:rPr>
        <w:t xml:space="preserve"> refers to ingredients and foods that are deemed religiously permissible for consumption and </w:t>
      </w:r>
      <w:r w:rsidRPr="004E292F">
        <w:rPr>
          <w:rFonts w:asciiTheme="minorBidi" w:eastAsia="Times New Roman" w:hAnsiTheme="minorBidi"/>
          <w:i/>
          <w:iCs/>
          <w:color w:val="000000"/>
          <w:lang w:eastAsia="en-CA"/>
        </w:rPr>
        <w:t xml:space="preserve">haram </w:t>
      </w:r>
      <w:r w:rsidRPr="004E292F">
        <w:rPr>
          <w:rFonts w:asciiTheme="minorBidi" w:eastAsia="Times New Roman" w:hAnsiTheme="minorBidi"/>
          <w:color w:val="000000"/>
          <w:lang w:eastAsia="en-CA"/>
        </w:rPr>
        <w:t xml:space="preserve">refers to ingredients that are deemed religiously impermissible for consumption. Things that are classified as </w:t>
      </w:r>
      <w:r w:rsidRPr="004E292F">
        <w:rPr>
          <w:rFonts w:asciiTheme="minorBidi" w:eastAsia="Times New Roman" w:hAnsiTheme="minorBidi"/>
          <w:i/>
          <w:iCs/>
          <w:color w:val="000000"/>
          <w:lang w:eastAsia="en-CA"/>
        </w:rPr>
        <w:t xml:space="preserve">haram </w:t>
      </w:r>
      <w:r w:rsidRPr="004E292F">
        <w:rPr>
          <w:rFonts w:asciiTheme="minorBidi" w:eastAsia="Times New Roman" w:hAnsiTheme="minorBidi"/>
          <w:color w:val="000000"/>
          <w:lang w:eastAsia="en-CA"/>
        </w:rPr>
        <w:t>can become permissible in extenuating circumstances, such as a lack of availability of an equally effective halal alternative, or a life-threatening emergency that requires prompt action. There are a variety of ingredients that may be included in medications which a Muslim may choose to avoid. </w:t>
      </w:r>
    </w:p>
    <w:p w14:paraId="19BD8D4C" w14:textId="77777777" w:rsidR="004E292F" w:rsidRPr="004E292F" w:rsidRDefault="004E292F" w:rsidP="004E292F">
      <w:pPr>
        <w:spacing w:after="0" w:line="240" w:lineRule="auto"/>
        <w:rPr>
          <w:rFonts w:asciiTheme="minorBidi" w:eastAsia="Times New Roman" w:hAnsiTheme="minorBidi"/>
          <w:lang w:eastAsia="en-CA"/>
        </w:rPr>
      </w:pPr>
    </w:p>
    <w:p w14:paraId="17E26DD6"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These include: </w:t>
      </w:r>
    </w:p>
    <w:p w14:paraId="649C5A52" w14:textId="77777777" w:rsidR="004E292F" w:rsidRPr="004E292F" w:rsidRDefault="004E292F" w:rsidP="004E292F">
      <w:pPr>
        <w:numPr>
          <w:ilvl w:val="0"/>
          <w:numId w:val="6"/>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Porcine-derived ingredients*</w:t>
      </w:r>
    </w:p>
    <w:p w14:paraId="5D41E2BD" w14:textId="77777777" w:rsidR="004E292F" w:rsidRPr="004E292F" w:rsidRDefault="004E292F" w:rsidP="004E292F">
      <w:pPr>
        <w:numPr>
          <w:ilvl w:val="0"/>
          <w:numId w:val="6"/>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Non-</w:t>
      </w:r>
      <w:r w:rsidRPr="004E292F">
        <w:rPr>
          <w:rFonts w:asciiTheme="minorBidi" w:eastAsia="Times New Roman" w:hAnsiTheme="minorBidi"/>
          <w:i/>
          <w:iCs/>
          <w:color w:val="000000"/>
          <w:lang w:eastAsia="en-CA"/>
        </w:rPr>
        <w:t xml:space="preserve">halal </w:t>
      </w:r>
      <w:r w:rsidRPr="004E292F">
        <w:rPr>
          <w:rFonts w:asciiTheme="minorBidi" w:eastAsia="Times New Roman" w:hAnsiTheme="minorBidi"/>
          <w:color w:val="000000"/>
          <w:lang w:eastAsia="en-CA"/>
        </w:rPr>
        <w:t>animal-derived ingredients* </w:t>
      </w:r>
    </w:p>
    <w:p w14:paraId="43A45C87" w14:textId="77777777" w:rsidR="004E292F" w:rsidRPr="004E292F" w:rsidRDefault="004E292F" w:rsidP="004E292F">
      <w:pPr>
        <w:numPr>
          <w:ilvl w:val="0"/>
          <w:numId w:val="6"/>
        </w:numPr>
        <w:spacing w:after="0" w:line="240" w:lineRule="auto"/>
        <w:textAlignment w:val="baseline"/>
        <w:rPr>
          <w:rFonts w:asciiTheme="minorBidi" w:eastAsia="Times New Roman" w:hAnsiTheme="minorBidi"/>
          <w:color w:val="000000"/>
          <w:lang w:eastAsia="en-CA"/>
        </w:rPr>
      </w:pPr>
      <w:r w:rsidRPr="004E292F">
        <w:rPr>
          <w:rFonts w:asciiTheme="minorBidi" w:eastAsia="Times New Roman" w:hAnsiTheme="minorBidi"/>
          <w:color w:val="000000"/>
          <w:lang w:eastAsia="en-CA"/>
        </w:rPr>
        <w:t>Alcohol when orally administered </w:t>
      </w:r>
    </w:p>
    <w:p w14:paraId="137E8827" w14:textId="77777777" w:rsidR="004E292F" w:rsidRPr="004E292F" w:rsidRDefault="004E292F" w:rsidP="004E292F">
      <w:pPr>
        <w:spacing w:after="0" w:line="240" w:lineRule="auto"/>
        <w:rPr>
          <w:rFonts w:asciiTheme="minorBidi" w:eastAsia="Times New Roman" w:hAnsiTheme="minorBidi"/>
          <w:lang w:eastAsia="en-CA"/>
        </w:rPr>
      </w:pPr>
    </w:p>
    <w:p w14:paraId="783A033A"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 xml:space="preserve">*For a full list of animal-derived medications, visit: </w:t>
      </w:r>
      <w:hyperlink r:id="rId8" w:history="1">
        <w:r w:rsidRPr="004E292F">
          <w:rPr>
            <w:rFonts w:asciiTheme="minorBidi" w:eastAsia="Times New Roman" w:hAnsiTheme="minorBidi"/>
            <w:color w:val="954F72"/>
            <w:u w:val="single"/>
            <w:lang w:eastAsia="en-CA"/>
          </w:rPr>
          <w:t>bit.ly/animal-derived-meds</w:t>
        </w:r>
      </w:hyperlink>
    </w:p>
    <w:p w14:paraId="649AB7B6" w14:textId="77777777" w:rsidR="004E292F" w:rsidRPr="004E292F" w:rsidRDefault="004E292F" w:rsidP="004E292F">
      <w:pPr>
        <w:spacing w:after="0" w:line="240" w:lineRule="auto"/>
        <w:rPr>
          <w:rFonts w:asciiTheme="minorBidi" w:eastAsia="Times New Roman" w:hAnsiTheme="minorBidi"/>
          <w:lang w:eastAsia="en-CA"/>
        </w:rPr>
      </w:pPr>
    </w:p>
    <w:p w14:paraId="1E86B3D6"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i/>
          <w:iCs/>
          <w:color w:val="000000"/>
          <w:lang w:eastAsia="en-CA"/>
        </w:rPr>
        <w:t>Treatment Regimens in Ramadan </w:t>
      </w:r>
    </w:p>
    <w:p w14:paraId="30ADCFBE" w14:textId="1EEAB0B2"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 xml:space="preserve">If you are fasting during Ramadan, you may want to ask your dermatologist if they can accommodate your treatment regimen around fasting hours. This may also apply for topical </w:t>
      </w:r>
      <w:r w:rsidRPr="004E292F">
        <w:rPr>
          <w:rFonts w:asciiTheme="minorBidi" w:eastAsia="Times New Roman" w:hAnsiTheme="minorBidi"/>
          <w:color w:val="000000"/>
          <w:lang w:eastAsia="en-CA"/>
        </w:rPr>
        <w:lastRenderedPageBreak/>
        <w:t>medications as a study in the UK showed that over a third of Muslim patients do not use topical dermatologic treatments while fasting</w:t>
      </w:r>
      <w:r w:rsidR="009D2FB8" w:rsidRPr="009D2FB8">
        <w:rPr>
          <w:rFonts w:asciiTheme="minorBidi" w:eastAsia="Times New Roman" w:hAnsiTheme="minorBidi"/>
          <w:color w:val="000000"/>
          <w:lang w:eastAsia="en-CA"/>
        </w:rPr>
        <w:t xml:space="preserve"> </w:t>
      </w:r>
      <w:r w:rsidR="009D2FB8" w:rsidRPr="009D2FB8">
        <w:rPr>
          <w:rFonts w:asciiTheme="minorBidi" w:eastAsia="Times New Roman" w:hAnsiTheme="minorBidi"/>
          <w:color w:val="000000"/>
          <w:lang w:eastAsia="en-CA"/>
        </w:rPr>
        <w:fldChar w:fldCharType="begin" w:fldLock="1"/>
      </w:r>
      <w:r w:rsidR="009D2FB8" w:rsidRPr="009D2FB8">
        <w:rPr>
          <w:rFonts w:asciiTheme="minorBidi" w:eastAsia="Times New Roman" w:hAnsiTheme="minorBidi"/>
          <w:color w:val="000000"/>
          <w:lang w:eastAsia="en-CA"/>
        </w:rPr>
        <w:instrText>ADDIN CSL_CITATION {"citationItems":[{"id":"ITEM-1","itemData":{"DOI":"10.1111/j.1365-2230.2012.04403.x","ISSN":"03076938","abstract":"Background. Ritual fasting during the Muslim religious festival of Ramadan is one of the 'Five Pillars' of Islam, and is widely observed by Muslims. Previous studies have highlighted compliance issues in patients prescribed oral medications during this period. Aim. To assess whether fasting during Ramadan influence the use of topical treatments for skin disease in Muslim patients. Methods. This was a prospective, anonymous, questionnaire survey undertaken in a dermatology centre in a tertiary hospital in the UK. Patients were asked if they would use topical treatment while fasting, and whether they would consider this a breach of their fast. Results. We found that more than one-third of the people interviewed would not use topical treatment while fasting, and around the same number (&gt; 30%) would also consider this a breach of their fast. Although the majority of these patients thought that using steroid-based topical products was not acceptable, a significant proportion extended this opinion to use of any cream or emollient, and even to light therapy. Gender, age, or educational level were not useful predictors of patient opinion, but there was a significant association with birthplace and likelihood of using topical treatment during Ramadan; patients born outside the UK were significantly (P &lt; 0.01) less likely than those born in the UK to use topical treatment in the fasting period. Conclusions. Our study indicates that fasting may be a significant and a hitherto unrecognised cause of non-compliance with topical treatment in Muslim patients in the UK, with potential health, quality and cost implications. Ritual fasting during Ramadan is widely observed by Muslims. Previous studies have highlighted compliance issues in patients prescribed oral medications during this period, and it seems this extends to use of topical treatments for skin disease. © The Author(s). CED © 2012 British Association of Dermatologists.","author":[{"dropping-particle":"","family":"Patel","given":"T.","non-dropping-particle":"","parse-names":false,"suffix":""},{"dropping-particle":"","family":"Magdum","given":"A.","non-dropping-particle":"","parse-names":false,"suffix":""},{"dropping-particle":"","family":"Ghura","given":"V.","non-dropping-particle":"","parse-names":false,"suffix":""}],"container-title":"Clinical and Experimental Dermatology","id":"ITEM-1","issue":"7","issued":{"date-parts":[["2012","10","1"]]},"page":"718-721","publisher":"John Wiley &amp; Sons, Ltd","title":"Does fasting during Ramadan affect the use of topical dermatological treatment by Muslim patients in the UK?","type":"article-journal","volume":"37"},"uris":["http://www.mendeley.com/documents/?uuid=b27c923c-dfcc-3bb6-ab15-cc547da12755"]}],"mendeley":{"formattedCitation":"[14]","plainTextFormattedCitation":"[14]","previouslyFormattedCitation":"[14]"},"properties":{"noteIndex":0},"schema":"https://github.com/citation-style-language/schema/raw/master/csl-citation.json"}</w:instrText>
      </w:r>
      <w:r w:rsidR="009D2FB8" w:rsidRPr="009D2FB8">
        <w:rPr>
          <w:rFonts w:asciiTheme="minorBidi" w:eastAsia="Times New Roman" w:hAnsiTheme="minorBidi"/>
          <w:color w:val="000000"/>
          <w:lang w:eastAsia="en-CA"/>
        </w:rPr>
        <w:fldChar w:fldCharType="separate"/>
      </w:r>
      <w:r w:rsidR="009D2FB8" w:rsidRPr="009D2FB8">
        <w:rPr>
          <w:rFonts w:asciiTheme="minorBidi" w:eastAsia="Times New Roman" w:hAnsiTheme="minorBidi"/>
          <w:noProof/>
          <w:color w:val="000000"/>
          <w:lang w:eastAsia="en-CA"/>
        </w:rPr>
        <w:t>[14]</w:t>
      </w:r>
      <w:r w:rsidR="009D2FB8" w:rsidRPr="009D2FB8">
        <w:rPr>
          <w:rFonts w:asciiTheme="minorBidi" w:eastAsia="Times New Roman" w:hAnsiTheme="minorBidi"/>
          <w:color w:val="000000"/>
          <w:lang w:eastAsia="en-CA"/>
        </w:rPr>
        <w:fldChar w:fldCharType="end"/>
      </w:r>
      <w:r w:rsidRPr="004E292F">
        <w:rPr>
          <w:rFonts w:asciiTheme="minorBidi" w:eastAsia="Times New Roman" w:hAnsiTheme="minorBidi"/>
          <w:color w:val="000000"/>
          <w:lang w:eastAsia="en-CA"/>
        </w:rPr>
        <w:t>. Your dermatologist can work with you to find a treatment schedule that works. </w:t>
      </w:r>
    </w:p>
    <w:p w14:paraId="17076BF1" w14:textId="77777777" w:rsidR="004E292F" w:rsidRPr="004E292F" w:rsidRDefault="004E292F" w:rsidP="004E292F">
      <w:pPr>
        <w:spacing w:after="0" w:line="240" w:lineRule="auto"/>
        <w:rPr>
          <w:rFonts w:asciiTheme="minorBidi" w:eastAsia="Times New Roman" w:hAnsiTheme="minorBidi"/>
          <w:lang w:eastAsia="en-CA"/>
        </w:rPr>
      </w:pPr>
    </w:p>
    <w:p w14:paraId="12C4ADB5"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 xml:space="preserve">Treatment plans work best when both patients and physicians are involved in the decision-making process. </w:t>
      </w:r>
      <w:proofErr w:type="gramStart"/>
      <w:r w:rsidRPr="004E292F">
        <w:rPr>
          <w:rFonts w:asciiTheme="minorBidi" w:eastAsia="Times New Roman" w:hAnsiTheme="minorBidi"/>
          <w:color w:val="000000"/>
          <w:lang w:eastAsia="en-CA"/>
        </w:rPr>
        <w:t>As a patient, this</w:t>
      </w:r>
      <w:proofErr w:type="gramEnd"/>
      <w:r w:rsidRPr="004E292F">
        <w:rPr>
          <w:rFonts w:asciiTheme="minorBidi" w:eastAsia="Times New Roman" w:hAnsiTheme="minorBidi"/>
          <w:color w:val="000000"/>
          <w:lang w:eastAsia="en-CA"/>
        </w:rPr>
        <w:t xml:space="preserve"> means being proactive by doing your own research and coming prepared to discuss your treatment preferences. </w:t>
      </w:r>
    </w:p>
    <w:p w14:paraId="1E48B23A" w14:textId="77777777" w:rsidR="004E292F" w:rsidRPr="004E292F" w:rsidRDefault="004E292F" w:rsidP="004E292F">
      <w:pPr>
        <w:spacing w:after="0" w:line="240" w:lineRule="auto"/>
        <w:rPr>
          <w:rFonts w:asciiTheme="minorBidi" w:eastAsia="Times New Roman" w:hAnsiTheme="minorBidi"/>
          <w:lang w:eastAsia="en-CA"/>
        </w:rPr>
      </w:pPr>
    </w:p>
    <w:p w14:paraId="65EA1AC2"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b/>
          <w:bCs/>
          <w:color w:val="000000"/>
          <w:lang w:eastAsia="en-CA"/>
        </w:rPr>
        <w:t>Conclusion</w:t>
      </w:r>
    </w:p>
    <w:p w14:paraId="61116D73" w14:textId="77777777" w:rsidR="004E292F" w:rsidRPr="004E292F" w:rsidRDefault="004E292F" w:rsidP="004E292F">
      <w:pPr>
        <w:spacing w:after="0" w:line="240" w:lineRule="auto"/>
        <w:rPr>
          <w:rFonts w:asciiTheme="minorBidi" w:eastAsia="Times New Roman" w:hAnsiTheme="minorBidi"/>
          <w:lang w:eastAsia="en-CA"/>
        </w:rPr>
      </w:pPr>
      <w:r w:rsidRPr="004E292F">
        <w:rPr>
          <w:rFonts w:asciiTheme="minorBidi" w:eastAsia="Times New Roman" w:hAnsiTheme="minorBidi"/>
          <w:color w:val="000000"/>
          <w:lang w:eastAsia="en-CA"/>
        </w:rPr>
        <w:t>Empowering yourself with information about the intersection of your faith and health allows you to come to appointments equipped to ask the right questions. Sharing your religious needs and health preferences helps open-up a conversation to allow shared decision making and enhances not only your comfort, but your quality of care. </w:t>
      </w:r>
    </w:p>
    <w:p w14:paraId="0F9DCD18" w14:textId="4F7A3626" w:rsidR="004E292F" w:rsidRPr="009D2FB8" w:rsidRDefault="004E292F">
      <w:pPr>
        <w:rPr>
          <w:rFonts w:asciiTheme="minorBidi" w:hAnsiTheme="minorBidi"/>
        </w:rPr>
      </w:pPr>
    </w:p>
    <w:p w14:paraId="271F825C" w14:textId="65223B9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rPr>
        <w:fldChar w:fldCharType="begin" w:fldLock="1"/>
      </w:r>
      <w:r w:rsidRPr="009D2FB8">
        <w:rPr>
          <w:rFonts w:asciiTheme="minorBidi" w:hAnsiTheme="minorBidi"/>
        </w:rPr>
        <w:instrText xml:space="preserve">ADDIN Mendeley Bibliography CSL_BIBLIOGRAPHY </w:instrText>
      </w:r>
      <w:r w:rsidRPr="009D2FB8">
        <w:rPr>
          <w:rFonts w:asciiTheme="minorBidi" w:hAnsiTheme="minorBidi"/>
        </w:rPr>
        <w:fldChar w:fldCharType="separate"/>
      </w:r>
      <w:r w:rsidRPr="009D2FB8">
        <w:rPr>
          <w:rFonts w:asciiTheme="minorBidi" w:hAnsiTheme="minorBidi"/>
          <w:noProof/>
        </w:rPr>
        <w:t>[1]</w:t>
      </w:r>
      <w:r w:rsidRPr="009D2FB8">
        <w:rPr>
          <w:rFonts w:asciiTheme="minorBidi" w:hAnsiTheme="minorBidi"/>
          <w:noProof/>
        </w:rPr>
        <w:tab/>
        <w:t xml:space="preserve">M. Vu, A. Azmat, T. Radejko, and A. I. Padela, “Predictors of Delayed Healthcare Seeking Among American Muslim Women,” </w:t>
      </w:r>
      <w:r w:rsidRPr="009D2FB8">
        <w:rPr>
          <w:rFonts w:asciiTheme="minorBidi" w:hAnsiTheme="minorBidi"/>
          <w:i/>
          <w:iCs/>
          <w:noProof/>
        </w:rPr>
        <w:t>J. Women’s Heal.</w:t>
      </w:r>
      <w:r w:rsidRPr="009D2FB8">
        <w:rPr>
          <w:rFonts w:asciiTheme="minorBidi" w:hAnsiTheme="minorBidi"/>
          <w:noProof/>
        </w:rPr>
        <w:t>, vol. 25, no. 6, pp. 586–593, Jun. 2016, doi: 10.1089/jwh.2015.5517.</w:t>
      </w:r>
    </w:p>
    <w:p w14:paraId="7ED8DB76"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[2]</w:t>
      </w:r>
      <w:r w:rsidRPr="009D2FB8">
        <w:rPr>
          <w:rFonts w:asciiTheme="minorBidi" w:hAnsiTheme="minorBidi"/>
          <w:noProof/>
        </w:rPr>
        <w:tab/>
        <w:t xml:space="preserve">A. Ali </w:t>
      </w:r>
      <w:r w:rsidRPr="009D2FB8">
        <w:rPr>
          <w:rFonts w:asciiTheme="minorBidi" w:hAnsiTheme="minorBidi"/>
          <w:i/>
          <w:iCs/>
          <w:noProof/>
        </w:rPr>
        <w:t>et al.</w:t>
      </w:r>
      <w:r w:rsidRPr="009D2FB8">
        <w:rPr>
          <w:rFonts w:asciiTheme="minorBidi" w:hAnsiTheme="minorBidi"/>
          <w:noProof/>
        </w:rPr>
        <w:t xml:space="preserve">, “South Asian and Muslim Canadian Patients are less Likely to Receive Living Donor Kidney Transplant offers Compared to Caucasian, Non-Muslim Patients,” </w:t>
      </w:r>
      <w:r w:rsidRPr="009D2FB8">
        <w:rPr>
          <w:rFonts w:asciiTheme="minorBidi" w:hAnsiTheme="minorBidi"/>
          <w:i/>
          <w:iCs/>
          <w:noProof/>
        </w:rPr>
        <w:t>Transplantation</w:t>
      </w:r>
      <w:r w:rsidRPr="009D2FB8">
        <w:rPr>
          <w:rFonts w:asciiTheme="minorBidi" w:hAnsiTheme="minorBidi"/>
          <w:noProof/>
        </w:rPr>
        <w:t>, vol. 102, p. S502, Jul. 2018, doi: 10.1097/01.tp.0000543324.75699.94.</w:t>
      </w:r>
    </w:p>
    <w:p w14:paraId="6068281D"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[3]</w:t>
      </w:r>
      <w:r w:rsidRPr="009D2FB8">
        <w:rPr>
          <w:rFonts w:asciiTheme="minorBidi" w:hAnsiTheme="minorBidi"/>
          <w:noProof/>
        </w:rPr>
        <w:tab/>
        <w:t xml:space="preserve">M. Vahabi </w:t>
      </w:r>
      <w:r w:rsidRPr="009D2FB8">
        <w:rPr>
          <w:rFonts w:asciiTheme="minorBidi" w:hAnsiTheme="minorBidi"/>
          <w:i/>
          <w:iCs/>
          <w:noProof/>
        </w:rPr>
        <w:t>et al.</w:t>
      </w:r>
      <w:r w:rsidRPr="009D2FB8">
        <w:rPr>
          <w:rFonts w:asciiTheme="minorBidi" w:hAnsiTheme="minorBidi"/>
          <w:noProof/>
        </w:rPr>
        <w:t xml:space="preserve">, “Breast cancer screening utilization among women from Muslim majority countries in Ontario, Canada,” </w:t>
      </w:r>
      <w:r w:rsidRPr="009D2FB8">
        <w:rPr>
          <w:rFonts w:asciiTheme="minorBidi" w:hAnsiTheme="minorBidi"/>
          <w:i/>
          <w:iCs/>
          <w:noProof/>
        </w:rPr>
        <w:t>Prev. Med. (Baltim).</w:t>
      </w:r>
      <w:r w:rsidRPr="009D2FB8">
        <w:rPr>
          <w:rFonts w:asciiTheme="minorBidi" w:hAnsiTheme="minorBidi"/>
          <w:noProof/>
        </w:rPr>
        <w:t>, vol. 105, pp. 176–183, Dec. 2017, doi: 10.1016/j.ypmed.2017.09.008.</w:t>
      </w:r>
    </w:p>
    <w:p w14:paraId="16D7D042"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[4]</w:t>
      </w:r>
      <w:r w:rsidRPr="009D2FB8">
        <w:rPr>
          <w:rFonts w:asciiTheme="minorBidi" w:hAnsiTheme="minorBidi"/>
          <w:noProof/>
        </w:rPr>
        <w:tab/>
        <w:t>A. K. Lofters, M. Vahabi, E. Kim, L. Ellison, E. Graves, and R. H. Glazier, “Cervical Cancer Screening among Women from Muslim-Majority Countries in Ontario, Canada,” 2017, doi: 10.1158/1055-9965.EPI-17-0323.</w:t>
      </w:r>
    </w:p>
    <w:p w14:paraId="705D20C8"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[5]</w:t>
      </w:r>
      <w:r w:rsidRPr="009D2FB8">
        <w:rPr>
          <w:rFonts w:asciiTheme="minorBidi" w:hAnsiTheme="minorBidi"/>
          <w:noProof/>
        </w:rPr>
        <w:tab/>
        <w:t xml:space="preserve">A. P. Lazar and P. Lazar, “Dry skin, water, and lubrication,” </w:t>
      </w:r>
      <w:r w:rsidRPr="009D2FB8">
        <w:rPr>
          <w:rFonts w:asciiTheme="minorBidi" w:hAnsiTheme="minorBidi"/>
          <w:i/>
          <w:iCs/>
          <w:noProof/>
        </w:rPr>
        <w:t>Dermatologic Clinics</w:t>
      </w:r>
      <w:r w:rsidRPr="009D2FB8">
        <w:rPr>
          <w:rFonts w:asciiTheme="minorBidi" w:hAnsiTheme="minorBidi"/>
          <w:noProof/>
        </w:rPr>
        <w:t>, vol. 9, no. 1. pp. 45–51, Jan. 01, 1991, doi: 10.1016/s0733-8635(18)30432-7.</w:t>
      </w:r>
    </w:p>
    <w:p w14:paraId="3FBF8A53"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[6]</w:t>
      </w:r>
      <w:r w:rsidRPr="009D2FB8">
        <w:rPr>
          <w:rFonts w:asciiTheme="minorBidi" w:hAnsiTheme="minorBidi"/>
          <w:noProof/>
        </w:rPr>
        <w:tab/>
        <w:t xml:space="preserve">M. Greenberg, H. Galiczynski, and J. Edward M. Galiczynski, “Dry skin: common causes, effective treatments: ruling out systemic causes is the first step to diagnosing xerosis, and patient education is the key to management. The good news is that dry skin can usually be managed effectively and inexpensively,” </w:t>
      </w:r>
      <w:r w:rsidRPr="009D2FB8">
        <w:rPr>
          <w:rFonts w:asciiTheme="minorBidi" w:hAnsiTheme="minorBidi"/>
          <w:i/>
          <w:iCs/>
          <w:noProof/>
        </w:rPr>
        <w:t>JAAPA-Journal Am. Acad. Physicians Assist.</w:t>
      </w:r>
      <w:r w:rsidRPr="009D2FB8">
        <w:rPr>
          <w:rFonts w:asciiTheme="minorBidi" w:hAnsiTheme="minorBidi"/>
          <w:noProof/>
        </w:rPr>
        <w:t>, vol. 17, no. 9, pp. 26–31, Sep. 2004, Accessed: Aug. 06, 2020. [Online]. Available: https://go.gale.com/ps/i.do?p=AONE&amp;sw=w&amp;issn=15471896&amp;v=2.1&amp;it=r&amp;id=GALE%7CA123079399&amp;sid=googleScholar&amp;linkaccess=fulltext.</w:t>
      </w:r>
    </w:p>
    <w:p w14:paraId="322A5AC2"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[7]</w:t>
      </w:r>
      <w:r w:rsidRPr="009D2FB8">
        <w:rPr>
          <w:rFonts w:asciiTheme="minorBidi" w:hAnsiTheme="minorBidi"/>
          <w:noProof/>
        </w:rPr>
        <w:tab/>
        <w:t xml:space="preserve">E. Proksch and J. M. Lachapelle, “The management of dry skin with topical emollients - Recent perspectives,” </w:t>
      </w:r>
      <w:r w:rsidRPr="009D2FB8">
        <w:rPr>
          <w:rFonts w:asciiTheme="minorBidi" w:hAnsiTheme="minorBidi"/>
          <w:i/>
          <w:iCs/>
          <w:noProof/>
        </w:rPr>
        <w:t>JDDG - Journal of the German Society of Dermatology</w:t>
      </w:r>
      <w:r w:rsidRPr="009D2FB8">
        <w:rPr>
          <w:rFonts w:asciiTheme="minorBidi" w:hAnsiTheme="minorBidi"/>
          <w:noProof/>
        </w:rPr>
        <w:t>, vol. 3, no. 10. J Dtsch Dermatol Ges, pp. 768–774, Oct. 2005, doi: 10.1111/j.1610-0387.2005.05068.x.</w:t>
      </w:r>
    </w:p>
    <w:p w14:paraId="1DE89EB1" w14:textId="107CFD9D"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[8]</w:t>
      </w:r>
      <w:r w:rsidRPr="009D2FB8">
        <w:rPr>
          <w:rFonts w:asciiTheme="minorBidi" w:hAnsiTheme="minorBidi"/>
          <w:noProof/>
        </w:rPr>
        <w:tab/>
        <w:t>Sahih al-Bukhari 334</w:t>
      </w:r>
    </w:p>
    <w:p w14:paraId="001CBA75"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[9]</w:t>
      </w:r>
      <w:r w:rsidRPr="009D2FB8">
        <w:rPr>
          <w:rFonts w:asciiTheme="minorBidi" w:hAnsiTheme="minorBidi"/>
          <w:noProof/>
        </w:rPr>
        <w:tab/>
        <w:t xml:space="preserve">A. Shafik, “Polyester but not cotton or wool textiles inhibit hair growth,” </w:t>
      </w:r>
      <w:r w:rsidRPr="009D2FB8">
        <w:rPr>
          <w:rFonts w:asciiTheme="minorBidi" w:hAnsiTheme="minorBidi"/>
          <w:i/>
          <w:iCs/>
          <w:noProof/>
        </w:rPr>
        <w:t>Dermatology</w:t>
      </w:r>
      <w:r w:rsidRPr="009D2FB8">
        <w:rPr>
          <w:rFonts w:asciiTheme="minorBidi" w:hAnsiTheme="minorBidi"/>
          <w:noProof/>
        </w:rPr>
        <w:t>, vol. 187, no. 4, pp. 239–242, 1993, doi: 10.1159/000247256.</w:t>
      </w:r>
    </w:p>
    <w:p w14:paraId="6929B8EC"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[10]</w:t>
      </w:r>
      <w:r w:rsidRPr="009D2FB8">
        <w:rPr>
          <w:rFonts w:asciiTheme="minorBidi" w:hAnsiTheme="minorBidi"/>
          <w:noProof/>
        </w:rPr>
        <w:tab/>
        <w:t xml:space="preserve">V. Billero and M. Miteva, “Traction alopecia: The root of the problem,” </w:t>
      </w:r>
      <w:r w:rsidRPr="009D2FB8">
        <w:rPr>
          <w:rFonts w:asciiTheme="minorBidi" w:hAnsiTheme="minorBidi"/>
          <w:i/>
          <w:iCs/>
          <w:noProof/>
        </w:rPr>
        <w:t>Clinical, Cosmetic and Investigational Dermatology</w:t>
      </w:r>
      <w:r w:rsidRPr="009D2FB8">
        <w:rPr>
          <w:rFonts w:asciiTheme="minorBidi" w:hAnsiTheme="minorBidi"/>
          <w:noProof/>
        </w:rPr>
        <w:t xml:space="preserve">, vol. 11. Dove Medical Press Ltd., pp. 149–159, Apr. 06, </w:t>
      </w:r>
      <w:r w:rsidRPr="009D2FB8">
        <w:rPr>
          <w:rFonts w:asciiTheme="minorBidi" w:hAnsiTheme="minorBidi"/>
          <w:noProof/>
        </w:rPr>
        <w:lastRenderedPageBreak/>
        <w:t>2018, doi: 10.2147/CCID.S137296.</w:t>
      </w:r>
    </w:p>
    <w:p w14:paraId="00A82C34"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[11]</w:t>
      </w:r>
      <w:r w:rsidRPr="009D2FB8">
        <w:rPr>
          <w:rFonts w:asciiTheme="minorBidi" w:hAnsiTheme="minorBidi"/>
          <w:noProof/>
        </w:rPr>
        <w:tab/>
        <w:t xml:space="preserve">C. R. Robbins, </w:t>
      </w:r>
      <w:r w:rsidRPr="009D2FB8">
        <w:rPr>
          <w:rFonts w:asciiTheme="minorBidi" w:hAnsiTheme="minorBidi"/>
          <w:i/>
          <w:iCs/>
          <w:noProof/>
        </w:rPr>
        <w:t>Chemical and Physical Behavior of Human Hair</w:t>
      </w:r>
      <w:r w:rsidRPr="009D2FB8">
        <w:rPr>
          <w:rFonts w:asciiTheme="minorBidi" w:hAnsiTheme="minorBidi"/>
          <w:noProof/>
        </w:rPr>
        <w:t>. Springer Berlin Heidelberg, 2012.</w:t>
      </w:r>
    </w:p>
    <w:p w14:paraId="4EB4690F"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[12]</w:t>
      </w:r>
      <w:r w:rsidRPr="009D2FB8">
        <w:rPr>
          <w:rFonts w:asciiTheme="minorBidi" w:hAnsiTheme="minorBidi"/>
          <w:noProof/>
        </w:rPr>
        <w:tab/>
        <w:t xml:space="preserve">M. Razzaghy-Azar and M. Shakiba, “Assessment of vitamin D status in healthy children and adolescents living in Tehran and its relation to iPTH, gender, weight and height,” </w:t>
      </w:r>
      <w:r w:rsidRPr="009D2FB8">
        <w:rPr>
          <w:rFonts w:asciiTheme="minorBidi" w:hAnsiTheme="minorBidi"/>
          <w:i/>
          <w:iCs/>
          <w:noProof/>
        </w:rPr>
        <w:t>Annals of Human Biology</w:t>
      </w:r>
      <w:r w:rsidRPr="009D2FB8">
        <w:rPr>
          <w:rFonts w:asciiTheme="minorBidi" w:hAnsiTheme="minorBidi"/>
          <w:noProof/>
        </w:rPr>
        <w:t>, vol. 37, no. 5. Taylor &amp; Francis, pp. 692–701, Sep. 2010, doi: 10.3109/03014460903527348.</w:t>
      </w:r>
    </w:p>
    <w:p w14:paraId="7A2F37B1"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[13]</w:t>
      </w:r>
      <w:r w:rsidRPr="009D2FB8">
        <w:rPr>
          <w:rFonts w:asciiTheme="minorBidi" w:hAnsiTheme="minorBidi"/>
          <w:noProof/>
        </w:rPr>
        <w:tab/>
        <w:t xml:space="preserve">S. Hatun </w:t>
      </w:r>
      <w:r w:rsidRPr="009D2FB8">
        <w:rPr>
          <w:rFonts w:asciiTheme="minorBidi" w:hAnsiTheme="minorBidi"/>
          <w:i/>
          <w:iCs/>
          <w:noProof/>
        </w:rPr>
        <w:t>et al.</w:t>
      </w:r>
      <w:r w:rsidRPr="009D2FB8">
        <w:rPr>
          <w:rFonts w:asciiTheme="minorBidi" w:hAnsiTheme="minorBidi"/>
          <w:noProof/>
        </w:rPr>
        <w:t xml:space="preserve">, “Subclinical vitamin D deficiency is increased in adolescent girls who wear concealing clothing,” in </w:t>
      </w:r>
      <w:r w:rsidRPr="009D2FB8">
        <w:rPr>
          <w:rFonts w:asciiTheme="minorBidi" w:hAnsiTheme="minorBidi"/>
          <w:i/>
          <w:iCs/>
          <w:noProof/>
        </w:rPr>
        <w:t>Journal of Nutrition</w:t>
      </w:r>
      <w:r w:rsidRPr="009D2FB8">
        <w:rPr>
          <w:rFonts w:asciiTheme="minorBidi" w:hAnsiTheme="minorBidi"/>
          <w:noProof/>
        </w:rPr>
        <w:t>, 2005, vol. 135, no. 2, pp. 218–222, doi: 10.1093/jn/135.2.218.</w:t>
      </w:r>
    </w:p>
    <w:p w14:paraId="00788567" w14:textId="77777777" w:rsidR="009D2FB8" w:rsidRPr="009D2FB8" w:rsidRDefault="009D2FB8" w:rsidP="009D2FB8">
      <w:pPr>
        <w:widowControl w:val="0"/>
        <w:autoSpaceDE w:val="0"/>
        <w:autoSpaceDN w:val="0"/>
        <w:adjustRightInd w:val="0"/>
        <w:spacing w:line="240" w:lineRule="auto"/>
        <w:ind w:left="640" w:hanging="640"/>
        <w:rPr>
          <w:rFonts w:asciiTheme="minorBidi" w:hAnsiTheme="minorBidi"/>
          <w:noProof/>
        </w:rPr>
      </w:pPr>
      <w:r w:rsidRPr="009D2FB8">
        <w:rPr>
          <w:rFonts w:asciiTheme="minorBidi" w:hAnsiTheme="minorBidi"/>
          <w:noProof/>
        </w:rPr>
        <w:t>[14]</w:t>
      </w:r>
      <w:r w:rsidRPr="009D2FB8">
        <w:rPr>
          <w:rFonts w:asciiTheme="minorBidi" w:hAnsiTheme="minorBidi"/>
          <w:noProof/>
        </w:rPr>
        <w:tab/>
        <w:t xml:space="preserve">T. Patel, A. Magdum, and V. Ghura, “Does fasting during Ramadan affect the use of topical dermatological treatment by Muslim patients in the UK?,” </w:t>
      </w:r>
      <w:r w:rsidRPr="009D2FB8">
        <w:rPr>
          <w:rFonts w:asciiTheme="minorBidi" w:hAnsiTheme="minorBidi"/>
          <w:i/>
          <w:iCs/>
          <w:noProof/>
        </w:rPr>
        <w:t>Clin. Exp. Dermatol.</w:t>
      </w:r>
      <w:r w:rsidRPr="009D2FB8">
        <w:rPr>
          <w:rFonts w:asciiTheme="minorBidi" w:hAnsiTheme="minorBidi"/>
          <w:noProof/>
        </w:rPr>
        <w:t>, vol. 37, no. 7, pp. 718–721, Oct. 2012, doi: 10.1111/j.1365-2230.2012.04403.x.</w:t>
      </w:r>
    </w:p>
    <w:p w14:paraId="1E7C3ABB" w14:textId="60CE4B0E" w:rsidR="009D2FB8" w:rsidRPr="009D2FB8" w:rsidRDefault="009D2FB8">
      <w:pPr>
        <w:rPr>
          <w:rFonts w:asciiTheme="minorBidi" w:hAnsiTheme="minorBidi"/>
        </w:rPr>
      </w:pPr>
      <w:r w:rsidRPr="009D2FB8">
        <w:rPr>
          <w:rFonts w:asciiTheme="minorBidi" w:hAnsiTheme="minorBidi"/>
        </w:rPr>
        <w:fldChar w:fldCharType="end"/>
      </w:r>
    </w:p>
    <w:sectPr w:rsidR="009D2FB8" w:rsidRPr="009D2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E95"/>
    <w:multiLevelType w:val="multilevel"/>
    <w:tmpl w:val="C5C2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F176C"/>
    <w:multiLevelType w:val="multilevel"/>
    <w:tmpl w:val="60F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21F30"/>
    <w:multiLevelType w:val="multilevel"/>
    <w:tmpl w:val="4B1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3265F"/>
    <w:multiLevelType w:val="multilevel"/>
    <w:tmpl w:val="8D2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13CC1"/>
    <w:multiLevelType w:val="multilevel"/>
    <w:tmpl w:val="CAC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D210C"/>
    <w:multiLevelType w:val="multilevel"/>
    <w:tmpl w:val="0DE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2F"/>
    <w:rsid w:val="004E292F"/>
    <w:rsid w:val="0050560F"/>
    <w:rsid w:val="005F7B84"/>
    <w:rsid w:val="00815F87"/>
    <w:rsid w:val="009D2FB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802"/>
  <w15:chartTrackingRefBased/>
  <w15:docId w15:val="{7F5B033B-C8EF-4DFB-B815-11DCAA1F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9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E292F"/>
  </w:style>
  <w:style w:type="character" w:styleId="Hyperlink">
    <w:name w:val="Hyperlink"/>
    <w:basedOn w:val="DefaultParagraphFont"/>
    <w:uiPriority w:val="99"/>
    <w:semiHidden/>
    <w:unhideWhenUsed/>
    <w:rsid w:val="004E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nimal-derived-med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3D1F-89F2-4461-B624-02B22704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Helal</dc:creator>
  <cp:keywords/>
  <dc:description/>
  <cp:lastModifiedBy>Shaimaa Helal</cp:lastModifiedBy>
  <cp:revision>3</cp:revision>
  <dcterms:created xsi:type="dcterms:W3CDTF">2020-12-03T01:54:00Z</dcterms:created>
  <dcterms:modified xsi:type="dcterms:W3CDTF">2020-12-03T02:36:00Z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a686424c-f369-3136-b184-29e9683256ea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